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eastAsia="zh-CN"/>
        </w:rPr>
        <w:t>大兴安岭农商银行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信合同利净值型系列理财产品兑付公告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大兴安岭农商银行发行的“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信合同利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净值型系列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理财产品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”于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2024年3月28日到期四款理财产品，理财资金投资的资产在理财期间运作正常，在理财产品到期时已全部变现。本期产品投资收益情况如下：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信合同利净值型系列202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期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C款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理财产品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（一）产品基本信息</w:t>
      </w:r>
    </w:p>
    <w:tbl>
      <w:tblPr>
        <w:tblStyle w:val="3"/>
        <w:tblW w:w="98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5"/>
        <w:gridCol w:w="2455"/>
        <w:gridCol w:w="1170"/>
        <w:gridCol w:w="1135"/>
        <w:gridCol w:w="1161"/>
        <w:gridCol w:w="428"/>
        <w:gridCol w:w="817"/>
        <w:gridCol w:w="10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jc w:val="center"/>
        </w:trPr>
        <w:tc>
          <w:tcPr>
            <w:tcW w:w="15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产品登记编码</w:t>
            </w:r>
          </w:p>
        </w:tc>
        <w:tc>
          <w:tcPr>
            <w:tcW w:w="2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产品名称</w:t>
            </w:r>
          </w:p>
        </w:tc>
        <w:tc>
          <w:tcPr>
            <w:tcW w:w="11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起息日</w:t>
            </w:r>
          </w:p>
        </w:tc>
        <w:tc>
          <w:tcPr>
            <w:tcW w:w="11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到期日</w:t>
            </w:r>
          </w:p>
        </w:tc>
        <w:tc>
          <w:tcPr>
            <w:tcW w:w="11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兑付日</w:t>
            </w:r>
          </w:p>
        </w:tc>
        <w:tc>
          <w:tcPr>
            <w:tcW w:w="4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期限(天)</w:t>
            </w:r>
          </w:p>
        </w:tc>
        <w:tc>
          <w:tcPr>
            <w:tcW w:w="8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产品类型</w:t>
            </w:r>
          </w:p>
        </w:tc>
        <w:tc>
          <w:tcPr>
            <w:tcW w:w="105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客户年化净收益率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  <w:jc w:val="center"/>
        </w:trPr>
        <w:tc>
          <w:tcPr>
            <w:tcW w:w="15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微软雅黑" w:asciiTheme="minorEastAsia" w:hAnsi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  <w:t>C114562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  <w:t>000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033</w:t>
            </w:r>
          </w:p>
        </w:tc>
        <w:tc>
          <w:tcPr>
            <w:tcW w:w="2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信合同利净值型系列2023年12期C款理财产品</w:t>
            </w:r>
          </w:p>
        </w:tc>
        <w:tc>
          <w:tcPr>
            <w:tcW w:w="11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微软雅黑" w:asciiTheme="minorEastAsia" w:hAnsi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2023/3/30</w:t>
            </w:r>
          </w:p>
        </w:tc>
        <w:tc>
          <w:tcPr>
            <w:tcW w:w="11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2024/3/28</w:t>
            </w:r>
          </w:p>
        </w:tc>
        <w:tc>
          <w:tcPr>
            <w:tcW w:w="11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2024/3/28</w:t>
            </w:r>
          </w:p>
        </w:tc>
        <w:tc>
          <w:tcPr>
            <w:tcW w:w="4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666666"/>
                <w:sz w:val="18"/>
                <w:szCs w:val="18"/>
                <w:lang w:val="en-US" w:eastAsia="zh-CN"/>
              </w:rPr>
              <w:t>364</w:t>
            </w:r>
          </w:p>
        </w:tc>
        <w:tc>
          <w:tcPr>
            <w:tcW w:w="8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3.62%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（二）产品收益分配以及费用情况：</w:t>
      </w:r>
    </w:p>
    <w:tbl>
      <w:tblPr>
        <w:tblStyle w:val="3"/>
        <w:tblW w:w="57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2"/>
        <w:gridCol w:w="1383"/>
        <w:gridCol w:w="1201"/>
        <w:gridCol w:w="644"/>
        <w:gridCol w:w="615"/>
        <w:gridCol w:w="6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3806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总兑付客户本息金额(元)</w:t>
            </w:r>
          </w:p>
        </w:tc>
        <w:tc>
          <w:tcPr>
            <w:tcW w:w="1914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银行费用金额(元)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3806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5176359.71</w:t>
            </w:r>
          </w:p>
        </w:tc>
        <w:tc>
          <w:tcPr>
            <w:tcW w:w="1914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15431.31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122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托管费(%)</w:t>
            </w:r>
          </w:p>
        </w:tc>
        <w:tc>
          <w:tcPr>
            <w:tcW w:w="138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估值服务费(%)</w:t>
            </w:r>
          </w:p>
        </w:tc>
        <w:tc>
          <w:tcPr>
            <w:tcW w:w="12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管理费(%)</w:t>
            </w:r>
          </w:p>
        </w:tc>
        <w:tc>
          <w:tcPr>
            <w:tcW w:w="64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22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0.005</w:t>
            </w:r>
          </w:p>
        </w:tc>
        <w:tc>
          <w:tcPr>
            <w:tcW w:w="138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0.005</w:t>
            </w:r>
          </w:p>
        </w:tc>
        <w:tc>
          <w:tcPr>
            <w:tcW w:w="12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0.30</w:t>
            </w:r>
          </w:p>
        </w:tc>
        <w:tc>
          <w:tcPr>
            <w:tcW w:w="64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信合同利净值型系列202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期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C款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理财产品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（一）产品基本信息</w:t>
      </w:r>
    </w:p>
    <w:tbl>
      <w:tblPr>
        <w:tblStyle w:val="3"/>
        <w:tblW w:w="98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5"/>
        <w:gridCol w:w="2455"/>
        <w:gridCol w:w="1170"/>
        <w:gridCol w:w="1135"/>
        <w:gridCol w:w="1161"/>
        <w:gridCol w:w="428"/>
        <w:gridCol w:w="817"/>
        <w:gridCol w:w="10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jc w:val="center"/>
        </w:trPr>
        <w:tc>
          <w:tcPr>
            <w:tcW w:w="15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产品登记编码</w:t>
            </w:r>
          </w:p>
        </w:tc>
        <w:tc>
          <w:tcPr>
            <w:tcW w:w="2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产品名称</w:t>
            </w:r>
          </w:p>
        </w:tc>
        <w:tc>
          <w:tcPr>
            <w:tcW w:w="11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起息日</w:t>
            </w:r>
          </w:p>
        </w:tc>
        <w:tc>
          <w:tcPr>
            <w:tcW w:w="11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到期日</w:t>
            </w:r>
          </w:p>
        </w:tc>
        <w:tc>
          <w:tcPr>
            <w:tcW w:w="11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兑付日</w:t>
            </w:r>
          </w:p>
        </w:tc>
        <w:tc>
          <w:tcPr>
            <w:tcW w:w="4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期限(天)</w:t>
            </w:r>
          </w:p>
        </w:tc>
        <w:tc>
          <w:tcPr>
            <w:tcW w:w="8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产品类型</w:t>
            </w:r>
          </w:p>
        </w:tc>
        <w:tc>
          <w:tcPr>
            <w:tcW w:w="105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客户年化净收益率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  <w:jc w:val="center"/>
        </w:trPr>
        <w:tc>
          <w:tcPr>
            <w:tcW w:w="15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微软雅黑" w:asciiTheme="minorEastAsia" w:hAnsi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  <w:t>C114562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  <w:t>000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036</w:t>
            </w:r>
          </w:p>
        </w:tc>
        <w:tc>
          <w:tcPr>
            <w:tcW w:w="2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信合同利净值型系列2023年13期C款理财产品</w:t>
            </w:r>
          </w:p>
        </w:tc>
        <w:tc>
          <w:tcPr>
            <w:tcW w:w="11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微软雅黑" w:asciiTheme="minorEastAsia" w:hAnsi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2023/4/7</w:t>
            </w:r>
          </w:p>
        </w:tc>
        <w:tc>
          <w:tcPr>
            <w:tcW w:w="11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2024/3/28</w:t>
            </w:r>
          </w:p>
        </w:tc>
        <w:tc>
          <w:tcPr>
            <w:tcW w:w="11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2024/3/28</w:t>
            </w:r>
          </w:p>
        </w:tc>
        <w:tc>
          <w:tcPr>
            <w:tcW w:w="4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666666"/>
                <w:sz w:val="18"/>
                <w:szCs w:val="18"/>
                <w:lang w:val="en-US" w:eastAsia="zh-CN"/>
              </w:rPr>
              <w:t>356</w:t>
            </w:r>
          </w:p>
        </w:tc>
        <w:tc>
          <w:tcPr>
            <w:tcW w:w="8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3.62%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（二）产品收益分配以及费用情况：</w:t>
      </w:r>
    </w:p>
    <w:tbl>
      <w:tblPr>
        <w:tblStyle w:val="3"/>
        <w:tblW w:w="57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2"/>
        <w:gridCol w:w="1383"/>
        <w:gridCol w:w="1201"/>
        <w:gridCol w:w="644"/>
        <w:gridCol w:w="615"/>
        <w:gridCol w:w="6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3806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总兑付客户本息金额(元)</w:t>
            </w:r>
          </w:p>
        </w:tc>
        <w:tc>
          <w:tcPr>
            <w:tcW w:w="1914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银行费用金额(元)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3806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5176536.99</w:t>
            </w:r>
          </w:p>
        </w:tc>
        <w:tc>
          <w:tcPr>
            <w:tcW w:w="1914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15105.32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122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托管费(%)</w:t>
            </w:r>
          </w:p>
        </w:tc>
        <w:tc>
          <w:tcPr>
            <w:tcW w:w="138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估值服务费(%)</w:t>
            </w:r>
          </w:p>
        </w:tc>
        <w:tc>
          <w:tcPr>
            <w:tcW w:w="12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管理费(%)</w:t>
            </w:r>
          </w:p>
        </w:tc>
        <w:tc>
          <w:tcPr>
            <w:tcW w:w="64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22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0.005</w:t>
            </w:r>
          </w:p>
        </w:tc>
        <w:tc>
          <w:tcPr>
            <w:tcW w:w="138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0.005</w:t>
            </w:r>
          </w:p>
        </w:tc>
        <w:tc>
          <w:tcPr>
            <w:tcW w:w="12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0.30</w:t>
            </w:r>
          </w:p>
        </w:tc>
        <w:tc>
          <w:tcPr>
            <w:tcW w:w="64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信合同利净值型系列202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33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期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B款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理财产品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（一）产品基本信息</w:t>
      </w:r>
    </w:p>
    <w:tbl>
      <w:tblPr>
        <w:tblStyle w:val="3"/>
        <w:tblW w:w="98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5"/>
        <w:gridCol w:w="2455"/>
        <w:gridCol w:w="1170"/>
        <w:gridCol w:w="1135"/>
        <w:gridCol w:w="1161"/>
        <w:gridCol w:w="428"/>
        <w:gridCol w:w="817"/>
        <w:gridCol w:w="10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jc w:val="center"/>
        </w:trPr>
        <w:tc>
          <w:tcPr>
            <w:tcW w:w="15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产品登记编码</w:t>
            </w:r>
          </w:p>
        </w:tc>
        <w:tc>
          <w:tcPr>
            <w:tcW w:w="2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产品名称</w:t>
            </w:r>
          </w:p>
        </w:tc>
        <w:tc>
          <w:tcPr>
            <w:tcW w:w="11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起息日</w:t>
            </w:r>
          </w:p>
        </w:tc>
        <w:tc>
          <w:tcPr>
            <w:tcW w:w="11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到期日</w:t>
            </w:r>
          </w:p>
        </w:tc>
        <w:tc>
          <w:tcPr>
            <w:tcW w:w="11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兑付日</w:t>
            </w:r>
          </w:p>
        </w:tc>
        <w:tc>
          <w:tcPr>
            <w:tcW w:w="4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期限(天)</w:t>
            </w:r>
          </w:p>
        </w:tc>
        <w:tc>
          <w:tcPr>
            <w:tcW w:w="8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产品类型</w:t>
            </w:r>
          </w:p>
        </w:tc>
        <w:tc>
          <w:tcPr>
            <w:tcW w:w="105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客户年化净收益率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  <w:jc w:val="center"/>
        </w:trPr>
        <w:tc>
          <w:tcPr>
            <w:tcW w:w="15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微软雅黑" w:asciiTheme="minorEastAsia" w:hAnsi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  <w:t>C114562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  <w:t>000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090</w:t>
            </w:r>
          </w:p>
        </w:tc>
        <w:tc>
          <w:tcPr>
            <w:tcW w:w="2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信合同利净值型系列2023年33期B款理财产品</w:t>
            </w:r>
          </w:p>
        </w:tc>
        <w:tc>
          <w:tcPr>
            <w:tcW w:w="11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微软雅黑" w:asciiTheme="minorEastAsia" w:hAnsi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2023/9/7</w:t>
            </w:r>
          </w:p>
        </w:tc>
        <w:tc>
          <w:tcPr>
            <w:tcW w:w="11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2024/3/28</w:t>
            </w:r>
          </w:p>
        </w:tc>
        <w:tc>
          <w:tcPr>
            <w:tcW w:w="11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2024/3/28</w:t>
            </w:r>
          </w:p>
        </w:tc>
        <w:tc>
          <w:tcPr>
            <w:tcW w:w="4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666666"/>
                <w:sz w:val="18"/>
                <w:szCs w:val="18"/>
                <w:lang w:val="en-US" w:eastAsia="zh-CN"/>
              </w:rPr>
              <w:t>203</w:t>
            </w:r>
          </w:p>
        </w:tc>
        <w:tc>
          <w:tcPr>
            <w:tcW w:w="8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3.32%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（二）产品收益分配以及费用情况：</w:t>
      </w:r>
    </w:p>
    <w:tbl>
      <w:tblPr>
        <w:tblStyle w:val="3"/>
        <w:tblW w:w="57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2"/>
        <w:gridCol w:w="1383"/>
        <w:gridCol w:w="1201"/>
        <w:gridCol w:w="644"/>
        <w:gridCol w:w="615"/>
        <w:gridCol w:w="6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3806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总兑付客户本息金额(元)</w:t>
            </w:r>
          </w:p>
        </w:tc>
        <w:tc>
          <w:tcPr>
            <w:tcW w:w="1914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银行费用金额(元)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3806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10179554.25</w:t>
            </w:r>
          </w:p>
        </w:tc>
        <w:tc>
          <w:tcPr>
            <w:tcW w:w="1914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17213.53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122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托管费(%)</w:t>
            </w:r>
          </w:p>
        </w:tc>
        <w:tc>
          <w:tcPr>
            <w:tcW w:w="138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估值服务费(%)</w:t>
            </w:r>
          </w:p>
        </w:tc>
        <w:tc>
          <w:tcPr>
            <w:tcW w:w="12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管理费(%)</w:t>
            </w:r>
          </w:p>
        </w:tc>
        <w:tc>
          <w:tcPr>
            <w:tcW w:w="64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22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0.005</w:t>
            </w:r>
          </w:p>
        </w:tc>
        <w:tc>
          <w:tcPr>
            <w:tcW w:w="138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0.005</w:t>
            </w:r>
          </w:p>
        </w:tc>
        <w:tc>
          <w:tcPr>
            <w:tcW w:w="12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0.30</w:t>
            </w:r>
          </w:p>
        </w:tc>
        <w:tc>
          <w:tcPr>
            <w:tcW w:w="64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信合同利净值型系列202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34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期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B款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理财产品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（一）产品基本信息</w:t>
      </w:r>
    </w:p>
    <w:tbl>
      <w:tblPr>
        <w:tblStyle w:val="3"/>
        <w:tblW w:w="98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5"/>
        <w:gridCol w:w="2455"/>
        <w:gridCol w:w="1170"/>
        <w:gridCol w:w="1135"/>
        <w:gridCol w:w="1161"/>
        <w:gridCol w:w="428"/>
        <w:gridCol w:w="817"/>
        <w:gridCol w:w="10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jc w:val="center"/>
        </w:trPr>
        <w:tc>
          <w:tcPr>
            <w:tcW w:w="15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产品登记编码</w:t>
            </w:r>
          </w:p>
        </w:tc>
        <w:tc>
          <w:tcPr>
            <w:tcW w:w="2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产品名称</w:t>
            </w:r>
          </w:p>
        </w:tc>
        <w:tc>
          <w:tcPr>
            <w:tcW w:w="11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起息日</w:t>
            </w:r>
          </w:p>
        </w:tc>
        <w:tc>
          <w:tcPr>
            <w:tcW w:w="11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到期日</w:t>
            </w:r>
          </w:p>
        </w:tc>
        <w:tc>
          <w:tcPr>
            <w:tcW w:w="11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兑付日</w:t>
            </w:r>
          </w:p>
        </w:tc>
        <w:tc>
          <w:tcPr>
            <w:tcW w:w="4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期限(天)</w:t>
            </w:r>
          </w:p>
        </w:tc>
        <w:tc>
          <w:tcPr>
            <w:tcW w:w="8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产品类型</w:t>
            </w:r>
          </w:p>
        </w:tc>
        <w:tc>
          <w:tcPr>
            <w:tcW w:w="105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客户年化净收益率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  <w:jc w:val="center"/>
        </w:trPr>
        <w:tc>
          <w:tcPr>
            <w:tcW w:w="15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微软雅黑" w:asciiTheme="minorEastAsia" w:hAnsi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  <w:t>C114562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  <w:t>000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095</w:t>
            </w:r>
          </w:p>
        </w:tc>
        <w:tc>
          <w:tcPr>
            <w:tcW w:w="2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信合同利净值型系列2023年34期B款理财产品</w:t>
            </w:r>
          </w:p>
        </w:tc>
        <w:tc>
          <w:tcPr>
            <w:tcW w:w="11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微软雅黑" w:asciiTheme="minorEastAsia" w:hAnsi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2023/9/21</w:t>
            </w:r>
          </w:p>
        </w:tc>
        <w:tc>
          <w:tcPr>
            <w:tcW w:w="11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2024/3/28</w:t>
            </w:r>
          </w:p>
        </w:tc>
        <w:tc>
          <w:tcPr>
            <w:tcW w:w="11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2024/3/28</w:t>
            </w:r>
          </w:p>
        </w:tc>
        <w:tc>
          <w:tcPr>
            <w:tcW w:w="4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666666"/>
                <w:sz w:val="18"/>
                <w:szCs w:val="18"/>
                <w:lang w:val="en-US" w:eastAsia="zh-CN"/>
              </w:rPr>
              <w:t>189</w:t>
            </w:r>
          </w:p>
        </w:tc>
        <w:tc>
          <w:tcPr>
            <w:tcW w:w="8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3.41%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（二）产品收益分配以及费用情况：</w:t>
      </w:r>
    </w:p>
    <w:tbl>
      <w:tblPr>
        <w:tblStyle w:val="3"/>
        <w:tblW w:w="57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2"/>
        <w:gridCol w:w="1383"/>
        <w:gridCol w:w="1201"/>
        <w:gridCol w:w="644"/>
        <w:gridCol w:w="615"/>
        <w:gridCol w:w="6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3806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总兑付客户本息金额(元)</w:t>
            </w:r>
          </w:p>
        </w:tc>
        <w:tc>
          <w:tcPr>
            <w:tcW w:w="1914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银行费用金额(元)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3806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10176572.60</w:t>
            </w:r>
          </w:p>
        </w:tc>
        <w:tc>
          <w:tcPr>
            <w:tcW w:w="1914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16032.63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122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托管费(%)</w:t>
            </w:r>
          </w:p>
        </w:tc>
        <w:tc>
          <w:tcPr>
            <w:tcW w:w="138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估值服务费(%)</w:t>
            </w:r>
          </w:p>
        </w:tc>
        <w:tc>
          <w:tcPr>
            <w:tcW w:w="12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管理费(%)</w:t>
            </w:r>
          </w:p>
        </w:tc>
        <w:tc>
          <w:tcPr>
            <w:tcW w:w="64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22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0.005</w:t>
            </w:r>
          </w:p>
        </w:tc>
        <w:tc>
          <w:tcPr>
            <w:tcW w:w="138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0.005</w:t>
            </w:r>
          </w:p>
        </w:tc>
        <w:tc>
          <w:tcPr>
            <w:tcW w:w="12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0.30</w:t>
            </w:r>
          </w:p>
        </w:tc>
        <w:tc>
          <w:tcPr>
            <w:tcW w:w="64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说明：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1.产品存续期间，大兴安岭农商银行将在协议约定的范围内，管理和运用理财产品资金，并根据市场情况、政策变化等因素，合理调整所投资的资产种类及配置比例。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2.产品成立，在黑龙江省农村信用社综合理财平台进行批量扣款处理，理财资金预计在成立日日初6时后划入我行理财资金归集账户。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3.产品到期，在黑龙江省农村信用社综合理财平台进行批量分配处理，理财资金预计在兑付日日终19时后划入投资者购买账户。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感谢您投资大兴安岭农商银行理财产品，敬请继续关注我行近期推出的理财产品！       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大兴安岭农商银行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二〇二四年三月二十八日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57247"/>
    <w:multiLevelType w:val="singleLevel"/>
    <w:tmpl w:val="1D75724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20E7B"/>
    <w:rsid w:val="008401E0"/>
    <w:rsid w:val="00CC2E9F"/>
    <w:rsid w:val="00D96395"/>
    <w:rsid w:val="0273462D"/>
    <w:rsid w:val="03C559B7"/>
    <w:rsid w:val="04FA369F"/>
    <w:rsid w:val="054153AE"/>
    <w:rsid w:val="05901CA8"/>
    <w:rsid w:val="07720E99"/>
    <w:rsid w:val="077C0B2A"/>
    <w:rsid w:val="08AC2CEB"/>
    <w:rsid w:val="0A8C54E5"/>
    <w:rsid w:val="0A9E3DC0"/>
    <w:rsid w:val="0B1D681A"/>
    <w:rsid w:val="0C0255CD"/>
    <w:rsid w:val="0C2120E3"/>
    <w:rsid w:val="0CE01883"/>
    <w:rsid w:val="0D7649D7"/>
    <w:rsid w:val="0EF86AAB"/>
    <w:rsid w:val="0F1B6736"/>
    <w:rsid w:val="0FDB139E"/>
    <w:rsid w:val="0FE73833"/>
    <w:rsid w:val="10E07745"/>
    <w:rsid w:val="11135EB0"/>
    <w:rsid w:val="114F0A7E"/>
    <w:rsid w:val="11CF32FC"/>
    <w:rsid w:val="120532B5"/>
    <w:rsid w:val="129C0248"/>
    <w:rsid w:val="12F72569"/>
    <w:rsid w:val="13950FE5"/>
    <w:rsid w:val="13A924ED"/>
    <w:rsid w:val="148B044E"/>
    <w:rsid w:val="14A05C42"/>
    <w:rsid w:val="14C91F38"/>
    <w:rsid w:val="15052FBB"/>
    <w:rsid w:val="15535103"/>
    <w:rsid w:val="15571588"/>
    <w:rsid w:val="15576DFF"/>
    <w:rsid w:val="158960D5"/>
    <w:rsid w:val="15EF692D"/>
    <w:rsid w:val="162125F3"/>
    <w:rsid w:val="16565A37"/>
    <w:rsid w:val="1674446D"/>
    <w:rsid w:val="16901E46"/>
    <w:rsid w:val="16952CF4"/>
    <w:rsid w:val="16C61F5D"/>
    <w:rsid w:val="16D35363"/>
    <w:rsid w:val="1725012D"/>
    <w:rsid w:val="17526978"/>
    <w:rsid w:val="179D5E6F"/>
    <w:rsid w:val="17D94592"/>
    <w:rsid w:val="1A961DB5"/>
    <w:rsid w:val="1ADE6BE5"/>
    <w:rsid w:val="1B4C5C07"/>
    <w:rsid w:val="1B981CB6"/>
    <w:rsid w:val="1C602A27"/>
    <w:rsid w:val="1C8B5878"/>
    <w:rsid w:val="1CF30E0C"/>
    <w:rsid w:val="1D15489A"/>
    <w:rsid w:val="1D1E2CF0"/>
    <w:rsid w:val="1D577761"/>
    <w:rsid w:val="1D671DF1"/>
    <w:rsid w:val="1DA67D4D"/>
    <w:rsid w:val="1DD83FA3"/>
    <w:rsid w:val="1DFC5EBC"/>
    <w:rsid w:val="1EC93D5B"/>
    <w:rsid w:val="1F0166EC"/>
    <w:rsid w:val="1F436EB3"/>
    <w:rsid w:val="21005A71"/>
    <w:rsid w:val="21282354"/>
    <w:rsid w:val="21CF619C"/>
    <w:rsid w:val="21D82FAF"/>
    <w:rsid w:val="22F958E7"/>
    <w:rsid w:val="232844E4"/>
    <w:rsid w:val="23470A5E"/>
    <w:rsid w:val="234E087D"/>
    <w:rsid w:val="23865A1C"/>
    <w:rsid w:val="238A00BC"/>
    <w:rsid w:val="24EE1A0E"/>
    <w:rsid w:val="25166584"/>
    <w:rsid w:val="255A2924"/>
    <w:rsid w:val="257F3640"/>
    <w:rsid w:val="267676CB"/>
    <w:rsid w:val="26A3668A"/>
    <w:rsid w:val="271E6302"/>
    <w:rsid w:val="27A71FF3"/>
    <w:rsid w:val="27BB7D26"/>
    <w:rsid w:val="28957B60"/>
    <w:rsid w:val="292F6605"/>
    <w:rsid w:val="295E7507"/>
    <w:rsid w:val="29813291"/>
    <w:rsid w:val="2AB77D55"/>
    <w:rsid w:val="2BCC6302"/>
    <w:rsid w:val="2C5912E0"/>
    <w:rsid w:val="2C7A2EEC"/>
    <w:rsid w:val="2CE777DD"/>
    <w:rsid w:val="2D150BB5"/>
    <w:rsid w:val="2D185235"/>
    <w:rsid w:val="2E1D3157"/>
    <w:rsid w:val="2E1E4938"/>
    <w:rsid w:val="2E3D038F"/>
    <w:rsid w:val="2E707A5C"/>
    <w:rsid w:val="2E946C24"/>
    <w:rsid w:val="2F0A5634"/>
    <w:rsid w:val="2FE8281A"/>
    <w:rsid w:val="306E36FB"/>
    <w:rsid w:val="309C1B9C"/>
    <w:rsid w:val="31B86355"/>
    <w:rsid w:val="31E37168"/>
    <w:rsid w:val="32352C67"/>
    <w:rsid w:val="327C5B31"/>
    <w:rsid w:val="32924E11"/>
    <w:rsid w:val="32C342C1"/>
    <w:rsid w:val="3448585C"/>
    <w:rsid w:val="350C78D1"/>
    <w:rsid w:val="36172BA6"/>
    <w:rsid w:val="362F00FD"/>
    <w:rsid w:val="373E3DE0"/>
    <w:rsid w:val="374157BC"/>
    <w:rsid w:val="37A06C11"/>
    <w:rsid w:val="37C4627D"/>
    <w:rsid w:val="39100786"/>
    <w:rsid w:val="39310604"/>
    <w:rsid w:val="3AB50897"/>
    <w:rsid w:val="3ADE4197"/>
    <w:rsid w:val="3B2B2D52"/>
    <w:rsid w:val="3CC96794"/>
    <w:rsid w:val="3E134EB9"/>
    <w:rsid w:val="3E182413"/>
    <w:rsid w:val="3E87400D"/>
    <w:rsid w:val="3FAC72ED"/>
    <w:rsid w:val="40007862"/>
    <w:rsid w:val="407C2E10"/>
    <w:rsid w:val="4149743C"/>
    <w:rsid w:val="41E9459A"/>
    <w:rsid w:val="421141B7"/>
    <w:rsid w:val="42D54364"/>
    <w:rsid w:val="43683D70"/>
    <w:rsid w:val="448B6F6A"/>
    <w:rsid w:val="449154A8"/>
    <w:rsid w:val="44D42150"/>
    <w:rsid w:val="44F633B4"/>
    <w:rsid w:val="452D032D"/>
    <w:rsid w:val="46080F0C"/>
    <w:rsid w:val="46297382"/>
    <w:rsid w:val="46EC4B01"/>
    <w:rsid w:val="4791713E"/>
    <w:rsid w:val="483C1968"/>
    <w:rsid w:val="484F729C"/>
    <w:rsid w:val="48FF099D"/>
    <w:rsid w:val="4908422E"/>
    <w:rsid w:val="4A49294B"/>
    <w:rsid w:val="4A655E53"/>
    <w:rsid w:val="4A8877B9"/>
    <w:rsid w:val="4ABA4B3C"/>
    <w:rsid w:val="4B573522"/>
    <w:rsid w:val="4BB95C07"/>
    <w:rsid w:val="4BF0659C"/>
    <w:rsid w:val="4E3F0572"/>
    <w:rsid w:val="4EA4122D"/>
    <w:rsid w:val="4ED33B98"/>
    <w:rsid w:val="4EDE7553"/>
    <w:rsid w:val="4FD726C7"/>
    <w:rsid w:val="4FF82EC3"/>
    <w:rsid w:val="50075475"/>
    <w:rsid w:val="50CC676F"/>
    <w:rsid w:val="51C755F4"/>
    <w:rsid w:val="52542F9F"/>
    <w:rsid w:val="53A937E4"/>
    <w:rsid w:val="53D47411"/>
    <w:rsid w:val="5431424E"/>
    <w:rsid w:val="5527308F"/>
    <w:rsid w:val="55935199"/>
    <w:rsid w:val="55BB3715"/>
    <w:rsid w:val="55BD2B74"/>
    <w:rsid w:val="55D75F40"/>
    <w:rsid w:val="55F67C51"/>
    <w:rsid w:val="568F0E78"/>
    <w:rsid w:val="569E6756"/>
    <w:rsid w:val="57296A4E"/>
    <w:rsid w:val="578F12AA"/>
    <w:rsid w:val="57CA45EA"/>
    <w:rsid w:val="57CA54DB"/>
    <w:rsid w:val="5807472D"/>
    <w:rsid w:val="58586C64"/>
    <w:rsid w:val="58E90955"/>
    <w:rsid w:val="59CA14CB"/>
    <w:rsid w:val="5D244E4B"/>
    <w:rsid w:val="5E581AB9"/>
    <w:rsid w:val="5E6F69DF"/>
    <w:rsid w:val="5EE32113"/>
    <w:rsid w:val="5EEE2965"/>
    <w:rsid w:val="5F884E0F"/>
    <w:rsid w:val="5F9A2439"/>
    <w:rsid w:val="604C112F"/>
    <w:rsid w:val="607B5B07"/>
    <w:rsid w:val="608D537B"/>
    <w:rsid w:val="60B8497A"/>
    <w:rsid w:val="61426C72"/>
    <w:rsid w:val="61A457F3"/>
    <w:rsid w:val="61B03F6E"/>
    <w:rsid w:val="61BE1D2B"/>
    <w:rsid w:val="61C117E8"/>
    <w:rsid w:val="621B4145"/>
    <w:rsid w:val="624F7453"/>
    <w:rsid w:val="62A14397"/>
    <w:rsid w:val="62BA6F46"/>
    <w:rsid w:val="62BD0769"/>
    <w:rsid w:val="63836240"/>
    <w:rsid w:val="63CD4359"/>
    <w:rsid w:val="63F25AA0"/>
    <w:rsid w:val="63F35264"/>
    <w:rsid w:val="63FE0A4C"/>
    <w:rsid w:val="64C55781"/>
    <w:rsid w:val="65223FE0"/>
    <w:rsid w:val="65467A65"/>
    <w:rsid w:val="656138EF"/>
    <w:rsid w:val="65E036B9"/>
    <w:rsid w:val="662D5B90"/>
    <w:rsid w:val="66470ABE"/>
    <w:rsid w:val="67271778"/>
    <w:rsid w:val="67670359"/>
    <w:rsid w:val="677D7392"/>
    <w:rsid w:val="686A1CD0"/>
    <w:rsid w:val="68C10A18"/>
    <w:rsid w:val="699D5675"/>
    <w:rsid w:val="6A377CDE"/>
    <w:rsid w:val="6AA0708F"/>
    <w:rsid w:val="6AFB1C8F"/>
    <w:rsid w:val="6B3B7347"/>
    <w:rsid w:val="6D2F0B0B"/>
    <w:rsid w:val="6D520E7B"/>
    <w:rsid w:val="6D626633"/>
    <w:rsid w:val="6E465133"/>
    <w:rsid w:val="6E710192"/>
    <w:rsid w:val="6E7A2ABE"/>
    <w:rsid w:val="6FBC3805"/>
    <w:rsid w:val="7024586D"/>
    <w:rsid w:val="70664130"/>
    <w:rsid w:val="7093670D"/>
    <w:rsid w:val="716C4DA9"/>
    <w:rsid w:val="71F61CE2"/>
    <w:rsid w:val="7293016A"/>
    <w:rsid w:val="73265096"/>
    <w:rsid w:val="73825AAE"/>
    <w:rsid w:val="74184109"/>
    <w:rsid w:val="75FA31CB"/>
    <w:rsid w:val="76C92CBF"/>
    <w:rsid w:val="770723B5"/>
    <w:rsid w:val="77174796"/>
    <w:rsid w:val="791C6D3F"/>
    <w:rsid w:val="795B5EA3"/>
    <w:rsid w:val="795F2261"/>
    <w:rsid w:val="7A451A8D"/>
    <w:rsid w:val="7ACC5B80"/>
    <w:rsid w:val="7B506D0A"/>
    <w:rsid w:val="7D134866"/>
    <w:rsid w:val="7E4B48BD"/>
    <w:rsid w:val="7E6D45D6"/>
    <w:rsid w:val="7E994AED"/>
    <w:rsid w:val="7FB10693"/>
    <w:rsid w:val="7FD1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2021-04-06T02:26:00Z</dcterms:created>
  <dc:creator>Administrator</dc:creator>
  <cp:lastModifiedBy>江宇</cp:lastModifiedBy>
  <dcterms:modified xsi:type="dcterms:W3CDTF">2024-03-29T06:40:30Z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