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/>
          <w:sz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sz w:val="32"/>
          <w:lang w:eastAsia="zh-CN"/>
        </w:rPr>
        <w:t>大兴安岭农村商业银行股份有限公司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color w:val="000000"/>
          <w:sz w:val="32"/>
        </w:rPr>
      </w:pPr>
      <w:r>
        <w:rPr>
          <w:rFonts w:hint="eastAsia" w:ascii="黑体" w:hAnsi="黑体" w:eastAsia="黑体" w:cs="黑体"/>
          <w:b/>
          <w:color w:val="000000"/>
          <w:sz w:val="32"/>
          <w:lang w:eastAsia="zh-CN"/>
        </w:rPr>
        <w:t>信合同利</w:t>
      </w:r>
      <w:r>
        <w:rPr>
          <w:rFonts w:hint="eastAsia" w:ascii="黑体" w:hAnsi="黑体" w:eastAsia="黑体" w:cs="黑体"/>
          <w:b/>
          <w:color w:val="000000"/>
          <w:sz w:val="32"/>
        </w:rPr>
        <w:t>净值型</w:t>
      </w:r>
      <w:r>
        <w:rPr>
          <w:rFonts w:hint="eastAsia" w:ascii="黑体" w:hAnsi="黑体" w:eastAsia="黑体" w:cs="黑体"/>
          <w:b/>
          <w:color w:val="000000"/>
          <w:sz w:val="32"/>
          <w:lang w:eastAsia="zh-CN"/>
        </w:rPr>
        <w:t>系列</w:t>
      </w:r>
      <w:r>
        <w:rPr>
          <w:rFonts w:hint="eastAsia" w:ascii="黑体" w:hAnsi="黑体" w:eastAsia="黑体" w:cs="黑体"/>
          <w:b/>
          <w:color w:val="000000"/>
          <w:sz w:val="32"/>
        </w:rPr>
        <w:t>理财产品</w:t>
      </w:r>
      <w:r>
        <w:rPr>
          <w:rFonts w:hint="eastAsia" w:ascii="黑体" w:hAnsi="黑体" w:eastAsia="黑体" w:cs="黑体"/>
          <w:b/>
          <w:color w:val="000000"/>
          <w:sz w:val="32"/>
          <w:lang w:eastAsia="zh-CN"/>
        </w:rPr>
        <w:t>2024年二季度</w:t>
      </w:r>
      <w:r>
        <w:rPr>
          <w:rFonts w:hint="eastAsia" w:ascii="黑体" w:hAnsi="黑体" w:eastAsia="黑体" w:cs="黑体"/>
          <w:b/>
          <w:color w:val="000000"/>
          <w:sz w:val="32"/>
        </w:rPr>
        <w:t>报告</w:t>
      </w:r>
    </w:p>
    <w:p>
      <w:pPr>
        <w:rPr>
          <w:rFonts w:hint="eastAsia" w:ascii="宋体" w:hAnsi="宋体" w:eastAsia="宋体" w:cs="宋体"/>
          <w:b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重要提示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/>
          <w:color w:val="000000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lang w:eastAsia="zh-CN"/>
        </w:rPr>
        <w:t>（一）</w:t>
      </w:r>
      <w:r>
        <w:rPr>
          <w:rFonts w:hint="eastAsia" w:ascii="宋体" w:hAnsi="宋体" w:eastAsia="宋体" w:cs="宋体"/>
          <w:color w:val="000000"/>
          <w:sz w:val="21"/>
        </w:rPr>
        <w:t>温馨提醒：理财非存款，产品有风险，投资需谨慎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1"/>
        </w:rPr>
      </w:pPr>
      <w:r>
        <w:rPr>
          <w:rFonts w:hint="eastAsia" w:ascii="宋体" w:hAnsi="宋体" w:eastAsia="宋体" w:cs="宋体"/>
          <w:color w:val="000000"/>
          <w:sz w:val="21"/>
          <w:lang w:eastAsia="zh-CN"/>
        </w:rPr>
        <w:t>（二）</w:t>
      </w:r>
      <w:r>
        <w:rPr>
          <w:rFonts w:hint="eastAsia" w:ascii="宋体" w:hAnsi="宋体" w:eastAsia="宋体" w:cs="宋体"/>
          <w:color w:val="000000"/>
          <w:sz w:val="21"/>
        </w:rPr>
        <w:t>理财信息可供参考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</w:rPr>
        <w:t>详情请咨询理财经理，或在“中国理财网www.chinawealth.com.cn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大兴安岭农村商业银行股份有限公司</w:t>
      </w:r>
      <w:r>
        <w:rPr>
          <w:rFonts w:hint="eastAsia" w:ascii="宋体" w:hAnsi="宋体" w:eastAsia="宋体" w:cs="宋体"/>
          <w:color w:val="000000"/>
          <w:sz w:val="21"/>
          <w:lang w:val="en-US" w:eastAsia="zh-CN"/>
        </w:rPr>
        <w:t xml:space="preserve">官网 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www.dxalrcb.com</w:t>
      </w:r>
      <w:r>
        <w:rPr>
          <w:rFonts w:hint="eastAsia" w:ascii="宋体" w:hAnsi="宋体" w:eastAsia="宋体" w:cs="宋体"/>
          <w:color w:val="000000"/>
          <w:sz w:val="21"/>
        </w:rPr>
        <w:t>”查询该产品相关信息。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</w:rPr>
      </w:pPr>
      <w:r>
        <w:rPr>
          <w:rFonts w:hint="eastAsia" w:ascii="宋体" w:hAnsi="宋体" w:eastAsia="宋体" w:cs="宋体"/>
          <w:color w:val="000000"/>
          <w:sz w:val="21"/>
          <w:lang w:eastAsia="zh-CN"/>
        </w:rPr>
        <w:t>（三）大兴安岭农村商业银行股份有限公司</w:t>
      </w:r>
      <w:r>
        <w:rPr>
          <w:rFonts w:hint="eastAsia" w:ascii="宋体" w:hAnsi="宋体" w:eastAsia="宋体" w:cs="宋体"/>
          <w:color w:val="000000"/>
          <w:sz w:val="21"/>
        </w:rPr>
        <w:t>保留对所有文字说明的最终解释权。</w:t>
      </w:r>
    </w:p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color w:val="000000"/>
          <w:sz w:val="24"/>
        </w:rPr>
      </w:pPr>
    </w:p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产品基本情况</w:t>
      </w:r>
    </w:p>
    <w:p>
      <w:pPr>
        <w:numPr>
          <w:ilvl w:val="0"/>
          <w:numId w:val="0"/>
        </w:numPr>
        <w:rPr>
          <w:rFonts w:ascii="宋体" w:hAnsi="宋体" w:eastAsia="宋体" w:cs="宋体"/>
          <w:b/>
          <w:color w:val="000000"/>
          <w:sz w:val="24"/>
        </w:rPr>
      </w:pPr>
    </w:p>
    <w:tbl>
      <w:tblPr>
        <w:tblStyle w:val="3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6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产品名称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信合同利净值型系列理财产品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全国银行业理财信息登记系统编码</w:t>
            </w:r>
          </w:p>
        </w:tc>
        <w:tc>
          <w:tcPr>
            <w:tcW w:w="6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产品登记编码可在“中国理财网www.chinawealth.com.cn”查询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产品运作方式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封闭式净值型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产品募集方式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公募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投资类型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固定收益类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风险等级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R2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发行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大兴安岭农村商业银行股份有限公司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产品托管人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招商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银行股份有限公司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天津分行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报告期末产品份额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480,718,000.00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>报告期末产品资产净值</w:t>
            </w:r>
          </w:p>
        </w:tc>
        <w:tc>
          <w:tcPr>
            <w:tcW w:w="6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486,633,228.50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color w:val="000000"/>
          <w:sz w:val="24"/>
          <w:lang w:eastAsia="zh-CN"/>
        </w:rPr>
      </w:pPr>
    </w:p>
    <w:p>
      <w:pPr>
        <w:numPr>
          <w:ilvl w:val="0"/>
          <w:numId w:val="3"/>
        </w:numPr>
        <w:ind w:firstLine="482" w:firstLineChars="200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产品</w:t>
      </w:r>
      <w:r>
        <w:rPr>
          <w:rFonts w:hint="eastAsia" w:ascii="宋体" w:hAnsi="宋体" w:eastAsia="宋体" w:cs="宋体"/>
          <w:b/>
          <w:color w:val="000000"/>
          <w:sz w:val="24"/>
          <w:lang w:eastAsia="zh-CN"/>
        </w:rPr>
        <w:t>净值</w:t>
      </w:r>
      <w:r>
        <w:rPr>
          <w:rFonts w:ascii="宋体" w:hAnsi="宋体" w:eastAsia="宋体" w:cs="宋体"/>
          <w:b/>
          <w:color w:val="000000"/>
          <w:sz w:val="24"/>
        </w:rPr>
        <w:t>表现</w:t>
      </w:r>
    </w:p>
    <w:p>
      <w:pPr>
        <w:numPr>
          <w:ilvl w:val="0"/>
          <w:numId w:val="0"/>
        </w:numPr>
        <w:rPr>
          <w:rFonts w:ascii="宋体" w:hAnsi="宋体" w:eastAsia="宋体" w:cs="宋体"/>
          <w:b/>
          <w:color w:val="000000"/>
          <w:sz w:val="24"/>
        </w:rPr>
      </w:pPr>
    </w:p>
    <w:tbl>
      <w:tblPr>
        <w:tblStyle w:val="4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220"/>
        <w:gridCol w:w="1215"/>
        <w:gridCol w:w="1245"/>
        <w:gridCol w:w="720"/>
        <w:gridCol w:w="151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产品登记编码</w:t>
            </w:r>
          </w:p>
        </w:tc>
        <w:tc>
          <w:tcPr>
            <w:tcW w:w="22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起息日</w:t>
            </w:r>
          </w:p>
        </w:tc>
        <w:tc>
          <w:tcPr>
            <w:tcW w:w="124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15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产品份额净值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000093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信合同利净值型系列20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2023/9/14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2024/9/5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000096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信合同利净值型系列20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2023/9/21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2024/9/12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000099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信合同利净值型系列20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2023/9/28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2024/9/26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000102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信合同利净值型系列20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2023/10/12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2024/9/26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350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000105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信合同利净值型系列20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2023/10/19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2024/10/17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000108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信合同利净值型系列20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2023/10/26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2024/10/24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000111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信合同利净值型系列20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2023/11/2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2024/10/31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000115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信合同利净值型系列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（社保卡）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期理财产品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2023/11/9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2024/11/7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000118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信合同利净值型系列20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2023/11/16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2024/11/14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000121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信合同利净值型系列20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2023/12/15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2024/11/21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000124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信合同利净值型系列2023年44期C款理财产品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2023/11/30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2024/11/28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000127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信合同利净值型系列2023年45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2023/12/7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2024/12/5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000130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信合同利净值型系列2023年46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2023/12/14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2024/12/12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000132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信合同利净值型系列2023年47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2023/12/21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2024/7/4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196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000133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信合同利净值型系列2023年47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2023/12/21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2024/12/19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000135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信合同利净值型系列2023年48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2023/12/28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2024/7/11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196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000136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信合同利净值型系列2023年48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2023/12/28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2024/12/26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000138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2024/1/4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2024/7/18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196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000139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2024/1/4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2024/12/26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000002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2024/1/11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2024/7/25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196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000003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2024/1/11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2025/1/9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000005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2024/1/18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2024/8/1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196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000006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2024/1/18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2025/1/16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000012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2024/2/1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2025/1/23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000015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2024/2/8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2025/1/23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350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000019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信合同利净值型系列（社保卡）2024年1期理财产品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2024/2/22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2025/2/13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000022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2024/2/29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2025/2/20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000025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2024/3/7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2025/2/27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000028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2024/3/14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2025/3/6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000031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2024/3/21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2025/3/13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00032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期A款理财产品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2024/3/28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2024/7/4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00033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2024/3/28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2024/9/19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175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00034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2024/3/28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2025/3/20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00035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年13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期A款理财产品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2024/4/11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2024/7/11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00037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年13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2024/4/11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2025/3/27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350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00038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年14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期A款理财产品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2024/4/18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2024/7/18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00040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年14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2024/4/18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2025/4/10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00043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2024/4/25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2025/4/17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00046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2024/5/9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2025/4/24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350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00047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2024/5/16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2024/8/15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00049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2024/5/16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2025/5/8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00050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2024/5/23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2024/8/22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00052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2024/5/23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2025/5/15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00053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2024/5/30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2024/8/29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00055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2024/5/30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2025/5/22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00056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2024/6/6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2024/9/5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00058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2024/6/6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2025/6/5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00060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2024/6/13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2024/9/19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00062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信合同利净值型系列（社保卡）2024年2期理财产品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2024/6/13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2025/6/12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00064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2024/6/20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2025/6/19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C1145624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00067</w:t>
            </w:r>
          </w:p>
        </w:tc>
        <w:tc>
          <w:tcPr>
            <w:tcW w:w="22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信合同利净值型系列2024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年23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期C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款理财产品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2024/6/27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2025/6/26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/>
          <w:color w:val="000000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outlineLvl w:val="9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报告期内产品的投资策略和运作分析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outlineLvl w:val="9"/>
        <w:rPr>
          <w:rFonts w:ascii="宋体" w:hAnsi="宋体" w:eastAsia="宋体" w:cs="宋体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outlineLvl w:val="9"/>
        <w:rPr>
          <w:rFonts w:ascii="宋体" w:hAnsi="宋体" w:eastAsia="宋体" w:cs="宋体"/>
          <w:b/>
          <w:bCs/>
          <w:color w:val="000000"/>
          <w:sz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lang w:eastAsia="zh-CN"/>
        </w:rPr>
        <w:t>（一）</w:t>
      </w:r>
      <w:r>
        <w:rPr>
          <w:rFonts w:ascii="宋体" w:hAnsi="宋体" w:eastAsia="宋体" w:cs="宋体"/>
          <w:b/>
          <w:bCs/>
          <w:color w:val="000000"/>
          <w:sz w:val="21"/>
        </w:rPr>
        <w:t>市场观点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highlight w:val="none"/>
          <w:lang w:val="en-US" w:eastAsia="zh-CN"/>
        </w:rPr>
        <w:t>国内宏观经济正在逐步复苏，伴随着债券资产回调带来的风险释放，价格或将逐步企稳，市场能进一步发挥资源配置作用，优质债券资产未来有望继续提供稳健回报。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outlineLvl w:val="9"/>
        <w:rPr>
          <w:rFonts w:ascii="宋体" w:hAnsi="宋体" w:eastAsia="宋体" w:cs="宋体"/>
          <w:b/>
          <w:bCs/>
          <w:color w:val="000000"/>
          <w:sz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lang w:eastAsia="zh-CN"/>
        </w:rPr>
        <w:t>（二）投资</w:t>
      </w:r>
      <w:r>
        <w:rPr>
          <w:rFonts w:ascii="宋体" w:hAnsi="宋体" w:eastAsia="宋体" w:cs="宋体"/>
          <w:b/>
          <w:bCs/>
          <w:color w:val="000000"/>
          <w:sz w:val="21"/>
        </w:rPr>
        <w:t>运作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理财资产配置以固定收益类为主，投资资产类型为银行存款、信托计划，底层资产为银行存款及债券，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在保持本金高安全性的前提下，兼顾资金的流动性与高效益性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textAlignment w:val="auto"/>
        <w:outlineLvl w:val="9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投资组合情况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outlineLvl w:val="9"/>
        <w:rPr>
          <w:rFonts w:ascii="宋体" w:hAnsi="宋体" w:eastAsia="宋体" w:cs="宋体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outlineLvl w:val="9"/>
        <w:rPr>
          <w:rFonts w:ascii="宋体" w:hAnsi="宋体" w:eastAsia="宋体" w:cs="宋体"/>
          <w:b/>
          <w:color w:val="000000"/>
          <w:sz w:val="21"/>
        </w:rPr>
      </w:pPr>
      <w:r>
        <w:rPr>
          <w:rFonts w:hint="eastAsia" w:ascii="宋体" w:hAnsi="宋体" w:eastAsia="宋体" w:cs="宋体"/>
          <w:b/>
          <w:color w:val="000000"/>
          <w:sz w:val="21"/>
          <w:lang w:eastAsia="zh-CN"/>
        </w:rPr>
        <w:t>（一）</w:t>
      </w:r>
      <w:r>
        <w:rPr>
          <w:rFonts w:ascii="宋体" w:hAnsi="宋体" w:eastAsia="宋体" w:cs="宋体"/>
          <w:b/>
          <w:color w:val="000000"/>
          <w:sz w:val="21"/>
        </w:rPr>
        <w:t>报告期末产品资产组合情况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  <w:t>资产类型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  <w:t>金额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  <w:t>银行存款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98,000.00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  <w:t>信托计划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480,620,000.00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99.98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  <w:t>合计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480,718,000.00</w:t>
            </w: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100.00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outlineLvl w:val="9"/>
        <w:rPr>
          <w:rFonts w:ascii="宋体" w:hAnsi="宋体" w:eastAsia="宋体" w:cs="宋体"/>
          <w:b/>
          <w:color w:val="000000"/>
          <w:sz w:val="21"/>
        </w:rPr>
      </w:pPr>
      <w:r>
        <w:rPr>
          <w:rFonts w:hint="eastAsia" w:ascii="宋体" w:hAnsi="宋体" w:eastAsia="宋体" w:cs="宋体"/>
          <w:b/>
          <w:color w:val="000000"/>
          <w:sz w:val="21"/>
          <w:lang w:eastAsia="zh-CN"/>
        </w:rPr>
        <w:t>（二）</w:t>
      </w:r>
      <w:r>
        <w:rPr>
          <w:rFonts w:ascii="宋体" w:hAnsi="宋体" w:eastAsia="宋体" w:cs="宋体"/>
          <w:b/>
          <w:color w:val="000000"/>
          <w:sz w:val="21"/>
        </w:rPr>
        <w:t>报告期末杠杆融资情况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>报告期末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未</w:t>
      </w:r>
      <w:r>
        <w:rPr>
          <w:rFonts w:ascii="宋体" w:hAnsi="宋体" w:eastAsia="宋体" w:cs="宋体"/>
          <w:color w:val="000000"/>
          <w:sz w:val="21"/>
        </w:rPr>
        <w:t>对本产品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进行</w:t>
      </w:r>
      <w:r>
        <w:rPr>
          <w:rFonts w:ascii="宋体" w:hAnsi="宋体" w:eastAsia="宋体" w:cs="宋体"/>
          <w:color w:val="000000"/>
          <w:sz w:val="21"/>
        </w:rPr>
        <w:t>杠杆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操作</w:t>
      </w:r>
      <w:r>
        <w:rPr>
          <w:rFonts w:ascii="宋体" w:hAnsi="宋体" w:eastAsia="宋体" w:cs="宋体"/>
          <w:color w:val="000000"/>
          <w:sz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2" w:firstLineChars="200"/>
        <w:textAlignment w:val="auto"/>
        <w:outlineLvl w:val="9"/>
        <w:rPr>
          <w:rFonts w:ascii="宋体" w:hAnsi="宋体" w:eastAsia="宋体" w:cs="宋体"/>
          <w:b/>
          <w:color w:val="000000"/>
          <w:sz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lang w:eastAsia="zh-CN"/>
        </w:rPr>
        <w:t>（三）</w:t>
      </w:r>
      <w:r>
        <w:rPr>
          <w:rFonts w:ascii="宋体" w:hAnsi="宋体" w:eastAsia="宋体" w:cs="宋体"/>
          <w:b/>
          <w:bCs/>
          <w:color w:val="000000"/>
          <w:sz w:val="21"/>
        </w:rPr>
        <w:t>报</w:t>
      </w:r>
      <w:r>
        <w:rPr>
          <w:rFonts w:ascii="宋体" w:hAnsi="宋体" w:eastAsia="宋体" w:cs="宋体"/>
          <w:b/>
          <w:color w:val="000000"/>
          <w:sz w:val="21"/>
        </w:rPr>
        <w:t>告期末</w:t>
      </w:r>
      <w:r>
        <w:rPr>
          <w:rFonts w:hint="eastAsia" w:ascii="宋体" w:hAnsi="宋体" w:eastAsia="宋体" w:cs="宋体"/>
          <w:b/>
          <w:color w:val="000000"/>
          <w:sz w:val="21"/>
          <w:lang w:eastAsia="zh-CN"/>
        </w:rPr>
        <w:t>底层</w:t>
      </w:r>
      <w:r>
        <w:rPr>
          <w:rFonts w:ascii="宋体" w:hAnsi="宋体" w:eastAsia="宋体" w:cs="宋体"/>
          <w:b/>
          <w:color w:val="000000"/>
          <w:sz w:val="21"/>
        </w:rPr>
        <w:t>资产持仓信息</w:t>
      </w:r>
    </w:p>
    <w:tbl>
      <w:tblPr>
        <w:tblStyle w:val="4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6"/>
        <w:gridCol w:w="2786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  <w:t>序号</w:t>
            </w:r>
          </w:p>
        </w:tc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  <w:t>债券类型</w:t>
            </w:r>
          </w:p>
        </w:tc>
        <w:tc>
          <w:tcPr>
            <w:tcW w:w="278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vertAlign w:val="baseline"/>
                <w:lang w:eastAsia="zh-CN"/>
              </w:rPr>
              <w:t>持仓规模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  <w:t>同业存单</w:t>
            </w:r>
          </w:p>
        </w:tc>
        <w:tc>
          <w:tcPr>
            <w:tcW w:w="278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10,000,000.00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  <w:t>商业性金融债</w:t>
            </w:r>
          </w:p>
        </w:tc>
        <w:tc>
          <w:tcPr>
            <w:tcW w:w="278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295,000,000.00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  <w:t>企业债券</w:t>
            </w:r>
          </w:p>
        </w:tc>
        <w:tc>
          <w:tcPr>
            <w:tcW w:w="278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361,000,000.00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eastAsia="zh-CN"/>
              </w:rPr>
              <w:t>合计</w:t>
            </w:r>
          </w:p>
        </w:tc>
        <w:tc>
          <w:tcPr>
            <w:tcW w:w="278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color w:val="000000"/>
                <w:sz w:val="21"/>
                <w:vertAlign w:val="baseline"/>
              </w:rPr>
            </w:pPr>
          </w:p>
        </w:tc>
        <w:tc>
          <w:tcPr>
            <w:tcW w:w="278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vertAlign w:val="baseline"/>
                <w:lang w:val="en-US" w:eastAsia="zh-CN"/>
              </w:rPr>
              <w:t>666,000,000.00</w:t>
            </w:r>
          </w:p>
        </w:tc>
      </w:tr>
    </w:tbl>
    <w:p>
      <w:pPr>
        <w:numPr>
          <w:ilvl w:val="0"/>
          <w:numId w:val="0"/>
        </w:numPr>
        <w:ind w:leftChars="0"/>
        <w:rPr>
          <w:rFonts w:ascii="宋体" w:hAnsi="宋体" w:eastAsia="宋体" w:cs="宋体"/>
          <w:b/>
          <w:color w:val="000000"/>
          <w:sz w:val="21"/>
        </w:rPr>
      </w:pPr>
    </w:p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color w:val="000000"/>
          <w:sz w:val="21"/>
        </w:rPr>
      </w:pPr>
      <w:r>
        <w:rPr>
          <w:rFonts w:hint="eastAsia" w:ascii="宋体" w:hAnsi="宋体" w:eastAsia="宋体" w:cs="宋体"/>
          <w:b/>
          <w:color w:val="000000"/>
          <w:sz w:val="24"/>
          <w:lang w:eastAsia="zh-CN"/>
        </w:rPr>
        <w:t>六、理财合作</w:t>
      </w:r>
      <w:r>
        <w:rPr>
          <w:rFonts w:ascii="宋体" w:hAnsi="宋体" w:eastAsia="宋体" w:cs="宋体"/>
          <w:b/>
          <w:color w:val="000000"/>
          <w:sz w:val="24"/>
        </w:rPr>
        <w:t>机构</w:t>
      </w:r>
      <w:r>
        <w:rPr>
          <w:rFonts w:ascii="宋体" w:hAnsi="宋体" w:eastAsia="宋体" w:cs="宋体"/>
          <w:color w:val="000000"/>
          <w:sz w:val="21"/>
        </w:rPr>
        <w:t xml:space="preserve">  </w:t>
      </w:r>
    </w:p>
    <w:p>
      <w:pPr>
        <w:numPr>
          <w:ilvl w:val="0"/>
          <w:numId w:val="0"/>
        </w:numPr>
        <w:ind w:leftChars="200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  <w:t>合作机构类别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vertAlign w:val="baseline"/>
                <w:lang w:eastAsia="zh-CN"/>
              </w:rPr>
              <w:t>合作机构名称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eastAsia="zh-CN"/>
              </w:rPr>
              <w:t>托管机构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  <w:t>招商银行股份有限公司天津分行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vertAlign w:val="baseline"/>
                <w:lang w:eastAsia="zh-CN"/>
              </w:rPr>
              <w:t>估值机构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中信建投证券股份有限公司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>报告期内，托管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机构、估值机构</w:t>
      </w:r>
      <w:r>
        <w:rPr>
          <w:rFonts w:ascii="宋体" w:hAnsi="宋体" w:eastAsia="宋体" w:cs="宋体"/>
          <w:color w:val="000000"/>
          <w:sz w:val="21"/>
        </w:rPr>
        <w:t>严格遵守《商业银行理财业务监督管理办法》及相关法律法规规定、理财产品托管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、估值</w:t>
      </w:r>
      <w:r>
        <w:rPr>
          <w:rFonts w:ascii="宋体" w:hAnsi="宋体" w:eastAsia="宋体" w:cs="宋体"/>
          <w:color w:val="000000"/>
          <w:sz w:val="21"/>
        </w:rPr>
        <w:t>协议约定，诚实信用、谨慎勤勉地履行了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合作机构</w:t>
      </w:r>
      <w:r>
        <w:rPr>
          <w:rFonts w:ascii="宋体" w:hAnsi="宋体" w:eastAsia="宋体" w:cs="宋体"/>
          <w:color w:val="000000"/>
          <w:sz w:val="21"/>
        </w:rPr>
        <w:t>义务，不存在损害理财产品投资者利益的行为。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>报告期内，托管人根据国家有关法律法规规定、理财产品托管协议的约定，对管理人在本理财产品的投资运作、资产净值的计算、收益的计算、理财产品费用开支等方面进行了必要的监督、复核和审查，未发现其存在任何损害本理财产品投资者利益的行为。</w:t>
      </w:r>
      <w:r>
        <w:rPr>
          <w:rFonts w:ascii="宋体" w:hAnsi="宋体" w:eastAsia="宋体" w:cs="宋体"/>
          <w:color w:val="000000"/>
          <w:sz w:val="21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报告期内，</w:t>
      </w:r>
      <w:r>
        <w:rPr>
          <w:rFonts w:ascii="宋体" w:hAnsi="宋体" w:eastAsia="宋体" w:cs="宋体"/>
          <w:color w:val="000000"/>
          <w:sz w:val="21"/>
        </w:rPr>
        <w:t>托管人认真复核了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>估值机构对本</w:t>
      </w:r>
      <w:r>
        <w:rPr>
          <w:rFonts w:ascii="宋体" w:hAnsi="宋体" w:eastAsia="宋体" w:cs="宋体"/>
          <w:color w:val="000000"/>
          <w:sz w:val="21"/>
        </w:rPr>
        <w:t>报告中的净值表现、投资组合等内容，认为其真实、准确和完整，不存在虚假记载、误导性陈述或者重大遗漏。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 w:ascii="宋体" w:hAnsi="宋体" w:eastAsia="宋体" w:cs="宋体"/>
          <w:b w:val="0"/>
          <w:bCs/>
          <w:color w:val="000000"/>
          <w:sz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lang w:eastAsia="zh-CN"/>
        </w:rPr>
        <w:t>大兴安岭农村商业银行股份有限公司</w:t>
      </w:r>
    </w:p>
    <w:p>
      <w:pPr>
        <w:numPr>
          <w:ilvl w:val="0"/>
          <w:numId w:val="0"/>
        </w:numPr>
        <w:ind w:leftChars="0"/>
        <w:jc w:val="right"/>
        <w:rPr>
          <w:rFonts w:hint="eastAsia" w:ascii="宋体" w:hAnsi="宋体" w:eastAsia="宋体" w:cs="宋体"/>
          <w:b/>
          <w:color w:val="000000"/>
          <w:sz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lang w:eastAsia="zh-CN"/>
        </w:rPr>
        <w:t>二〇二四年七月一日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FFF09D"/>
    <w:multiLevelType w:val="singleLevel"/>
    <w:tmpl w:val="B7FFF0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2A955A"/>
    <w:multiLevelType w:val="singleLevel"/>
    <w:tmpl w:val="462A955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41E2EA1"/>
    <w:multiLevelType w:val="singleLevel"/>
    <w:tmpl w:val="741E2EA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C5F70"/>
    <w:rsid w:val="02D1559E"/>
    <w:rsid w:val="04C156F9"/>
    <w:rsid w:val="0C9F6573"/>
    <w:rsid w:val="1E882A4F"/>
    <w:rsid w:val="22CC5F70"/>
    <w:rsid w:val="249D344A"/>
    <w:rsid w:val="2B9E5991"/>
    <w:rsid w:val="2C155412"/>
    <w:rsid w:val="2C937FF9"/>
    <w:rsid w:val="39191AA1"/>
    <w:rsid w:val="3C74570A"/>
    <w:rsid w:val="40121469"/>
    <w:rsid w:val="43C8512D"/>
    <w:rsid w:val="47FD4EBB"/>
    <w:rsid w:val="484E54F7"/>
    <w:rsid w:val="4A6326D5"/>
    <w:rsid w:val="4C084305"/>
    <w:rsid w:val="52BE1AA7"/>
    <w:rsid w:val="58487FAA"/>
    <w:rsid w:val="58924284"/>
    <w:rsid w:val="653369B9"/>
    <w:rsid w:val="66EE7975"/>
    <w:rsid w:val="791F1BA1"/>
    <w:rsid w:val="7C8E16A7"/>
    <w:rsid w:val="7CF9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EMPTY_CELL_STYLE"/>
    <w:qFormat/>
    <w:uiPriority w:val="0"/>
    <w:pPr>
      <w:spacing w:line="240" w:lineRule="auto"/>
    </w:pPr>
    <w:rPr>
      <w:rFonts w:ascii="SansSerif" w:hAnsi="SansSerif" w:eastAsia="SansSerif" w:cs="SansSerif"/>
      <w:color w:val="000000"/>
      <w:sz w:val="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2023-01-10T01:21:00Z</dcterms:created>
  <dc:creator>江宇</dc:creator>
  <cp:lastModifiedBy>江宇</cp:lastModifiedBy>
  <dcterms:modified xsi:type="dcterms:W3CDTF">2024-07-08T07:02:07Z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