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2"/>
          <w:lang w:eastAsia="zh-CN"/>
        </w:rPr>
      </w:pPr>
      <w:bookmarkStart w:id="0" w:name="_GoBack"/>
      <w:bookmarkEnd w:id="0"/>
      <w:r>
        <w:rPr>
          <w:rFonts w:hint="eastAsia" w:ascii="黑体" w:hAnsi="黑体" w:eastAsia="黑体" w:cs="黑体"/>
          <w:b/>
          <w:color w:val="000000"/>
          <w:sz w:val="32"/>
          <w:lang w:eastAsia="zh-CN"/>
        </w:rPr>
        <w:t>大兴安岭农村商业银行股份有限公司</w:t>
      </w:r>
    </w:p>
    <w:p>
      <w:pPr>
        <w:jc w:val="center"/>
        <w:rPr>
          <w:rFonts w:hint="eastAsia" w:asciiTheme="majorEastAsia" w:hAnsiTheme="majorEastAsia" w:eastAsiaTheme="majorEastAsia" w:cstheme="majorEastAsia"/>
          <w:b/>
          <w:color w:val="000000"/>
          <w:sz w:val="32"/>
        </w:rPr>
      </w:pPr>
      <w:r>
        <w:rPr>
          <w:rFonts w:hint="eastAsia" w:ascii="黑体" w:hAnsi="黑体" w:eastAsia="黑体" w:cs="黑体"/>
          <w:b/>
          <w:color w:val="000000"/>
          <w:sz w:val="32"/>
          <w:lang w:eastAsia="zh-CN"/>
        </w:rPr>
        <w:t>信合同利</w:t>
      </w:r>
      <w:r>
        <w:rPr>
          <w:rFonts w:hint="eastAsia" w:ascii="黑体" w:hAnsi="黑体" w:eastAsia="黑体" w:cs="黑体"/>
          <w:b/>
          <w:color w:val="000000"/>
          <w:sz w:val="32"/>
        </w:rPr>
        <w:t>净值型</w:t>
      </w:r>
      <w:r>
        <w:rPr>
          <w:rFonts w:hint="eastAsia" w:ascii="黑体" w:hAnsi="黑体" w:eastAsia="黑体" w:cs="黑体"/>
          <w:b/>
          <w:color w:val="000000"/>
          <w:sz w:val="32"/>
          <w:lang w:eastAsia="zh-CN"/>
        </w:rPr>
        <w:t>系列</w:t>
      </w:r>
      <w:r>
        <w:rPr>
          <w:rFonts w:hint="eastAsia" w:ascii="黑体" w:hAnsi="黑体" w:eastAsia="黑体" w:cs="黑体"/>
          <w:b/>
          <w:color w:val="000000"/>
          <w:sz w:val="32"/>
        </w:rPr>
        <w:t>理财产品</w:t>
      </w:r>
      <w:r>
        <w:rPr>
          <w:rFonts w:hint="eastAsia" w:ascii="黑体" w:hAnsi="黑体" w:eastAsia="黑体" w:cs="黑体"/>
          <w:b/>
          <w:color w:val="000000"/>
          <w:sz w:val="32"/>
          <w:lang w:eastAsia="zh-CN"/>
        </w:rPr>
        <w:t>2024年四季度</w:t>
      </w:r>
      <w:r>
        <w:rPr>
          <w:rFonts w:hint="eastAsia" w:ascii="黑体" w:hAnsi="黑体" w:eastAsia="黑体" w:cs="黑体"/>
          <w:b/>
          <w:color w:val="000000"/>
          <w:sz w:val="32"/>
        </w:rPr>
        <w:t>报告</w:t>
      </w:r>
    </w:p>
    <w:p>
      <w:pPr>
        <w:rPr>
          <w:rFonts w:hint="eastAsia" w:ascii="宋体" w:hAnsi="宋体" w:eastAsia="宋体" w:cs="宋体"/>
          <w:b/>
          <w:color w:val="000000"/>
          <w:sz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重要提示</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color w:val="000000"/>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lang w:eastAsia="zh-CN"/>
        </w:rPr>
      </w:pPr>
      <w:r>
        <w:rPr>
          <w:rFonts w:hint="eastAsia" w:ascii="宋体" w:hAnsi="宋体" w:eastAsia="宋体" w:cs="宋体"/>
          <w:color w:val="000000"/>
          <w:sz w:val="21"/>
          <w:lang w:eastAsia="zh-CN"/>
        </w:rPr>
        <w:t>（一）</w:t>
      </w:r>
      <w:r>
        <w:rPr>
          <w:rFonts w:hint="eastAsia" w:ascii="宋体" w:hAnsi="宋体" w:eastAsia="宋体" w:cs="宋体"/>
          <w:color w:val="000000"/>
          <w:sz w:val="21"/>
        </w:rPr>
        <w:t>温馨提醒：理财非存款，产品有风险，投资需谨慎</w:t>
      </w:r>
      <w:r>
        <w:rPr>
          <w:rFonts w:hint="eastAsia" w:ascii="宋体" w:hAnsi="宋体" w:eastAsia="宋体" w:cs="宋体"/>
          <w:color w:val="000000"/>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宋体"/>
          <w:color w:val="000000"/>
          <w:sz w:val="21"/>
        </w:rPr>
      </w:pPr>
      <w:r>
        <w:rPr>
          <w:rFonts w:hint="eastAsia" w:ascii="宋体" w:hAnsi="宋体" w:eastAsia="宋体" w:cs="宋体"/>
          <w:color w:val="000000"/>
          <w:sz w:val="21"/>
          <w:lang w:eastAsia="zh-CN"/>
        </w:rPr>
        <w:t>（二）</w:t>
      </w:r>
      <w:r>
        <w:rPr>
          <w:rFonts w:hint="eastAsia" w:ascii="宋体" w:hAnsi="宋体" w:eastAsia="宋体" w:cs="宋体"/>
          <w:color w:val="000000"/>
          <w:sz w:val="21"/>
        </w:rPr>
        <w:t>理财信息可供参考</w:t>
      </w:r>
      <w:r>
        <w:rPr>
          <w:rFonts w:hint="eastAsia" w:ascii="宋体" w:hAnsi="宋体" w:eastAsia="宋体" w:cs="宋体"/>
          <w:color w:val="000000"/>
          <w:sz w:val="21"/>
          <w:lang w:eastAsia="zh-CN"/>
        </w:rPr>
        <w:t>，</w:t>
      </w:r>
      <w:r>
        <w:rPr>
          <w:rFonts w:hint="eastAsia" w:ascii="宋体" w:hAnsi="宋体" w:eastAsia="宋体" w:cs="宋体"/>
          <w:color w:val="000000"/>
          <w:sz w:val="21"/>
        </w:rPr>
        <w:t>详情请咨询理财经理，或在“中国理财网www.chinawealth.com.cn</w:t>
      </w:r>
      <w:r>
        <w:rPr>
          <w:rFonts w:hint="eastAsia" w:ascii="宋体" w:hAnsi="宋体" w:eastAsia="宋体" w:cs="宋体"/>
          <w:color w:val="000000"/>
          <w:sz w:val="21"/>
          <w:lang w:eastAsia="zh-CN"/>
        </w:rPr>
        <w:t>、</w:t>
      </w:r>
      <w:r>
        <w:rPr>
          <w:rFonts w:hint="eastAsia" w:ascii="宋体" w:hAnsi="宋体" w:eastAsia="宋体" w:cs="宋体"/>
          <w:color w:val="000000"/>
          <w:sz w:val="21"/>
          <w:lang w:val="en-US" w:eastAsia="zh-CN"/>
        </w:rPr>
        <w:t xml:space="preserve"> </w:t>
      </w:r>
      <w:r>
        <w:rPr>
          <w:rFonts w:hint="eastAsia" w:ascii="宋体" w:hAnsi="宋体" w:eastAsia="宋体" w:cs="宋体"/>
          <w:color w:val="000000"/>
          <w:sz w:val="21"/>
          <w:lang w:eastAsia="zh-CN"/>
        </w:rPr>
        <w:t>大兴安岭农村商业银行股份有限公司</w:t>
      </w:r>
      <w:r>
        <w:rPr>
          <w:rFonts w:hint="eastAsia" w:ascii="宋体" w:hAnsi="宋体" w:eastAsia="宋体" w:cs="宋体"/>
          <w:color w:val="000000"/>
          <w:sz w:val="21"/>
          <w:lang w:val="en-US" w:eastAsia="zh-CN"/>
        </w:rPr>
        <w:t xml:space="preserve">官网 </w:t>
      </w:r>
      <w:r>
        <w:rPr>
          <w:rFonts w:hint="eastAsia" w:ascii="宋体" w:hAnsi="宋体" w:eastAsia="宋体" w:cs="宋体"/>
          <w:color w:val="000000"/>
          <w:sz w:val="21"/>
          <w:lang w:eastAsia="zh-CN"/>
        </w:rPr>
        <w:t>www.dxalrcb.com</w:t>
      </w:r>
      <w:r>
        <w:rPr>
          <w:rFonts w:hint="eastAsia" w:ascii="宋体" w:hAnsi="宋体" w:eastAsia="宋体" w:cs="宋体"/>
          <w:color w:val="000000"/>
          <w:sz w:val="21"/>
        </w:rPr>
        <w:t>”查询该产品相关信息。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rPr>
      </w:pPr>
      <w:r>
        <w:rPr>
          <w:rFonts w:hint="eastAsia" w:ascii="宋体" w:hAnsi="宋体" w:eastAsia="宋体" w:cs="宋体"/>
          <w:color w:val="000000"/>
          <w:sz w:val="21"/>
          <w:lang w:eastAsia="zh-CN"/>
        </w:rPr>
        <w:t>（三）大兴安岭农村商业银行股份有限公司</w:t>
      </w:r>
      <w:r>
        <w:rPr>
          <w:rFonts w:hint="eastAsia" w:ascii="宋体" w:hAnsi="宋体" w:eastAsia="宋体" w:cs="宋体"/>
          <w:color w:val="000000"/>
          <w:sz w:val="21"/>
        </w:rPr>
        <w:t>保留对所有文字说明的最终解释权。</w:t>
      </w:r>
    </w:p>
    <w:p>
      <w:pPr>
        <w:numPr>
          <w:ilvl w:val="0"/>
          <w:numId w:val="0"/>
        </w:numPr>
        <w:ind w:firstLine="482" w:firstLineChars="200"/>
        <w:rPr>
          <w:rFonts w:ascii="宋体" w:hAnsi="宋体" w:eastAsia="宋体" w:cs="宋体"/>
          <w:b/>
          <w:color w:val="000000"/>
          <w:sz w:val="24"/>
        </w:rPr>
      </w:pPr>
    </w:p>
    <w:p>
      <w:pPr>
        <w:numPr>
          <w:ilvl w:val="0"/>
          <w:numId w:val="2"/>
        </w:numPr>
        <w:ind w:firstLine="482" w:firstLineChars="200"/>
        <w:rPr>
          <w:rFonts w:ascii="宋体" w:hAnsi="宋体" w:eastAsia="宋体" w:cs="宋体"/>
          <w:b/>
          <w:color w:val="000000"/>
          <w:sz w:val="24"/>
        </w:rPr>
      </w:pPr>
      <w:r>
        <w:rPr>
          <w:rFonts w:ascii="宋体" w:hAnsi="宋体" w:eastAsia="宋体" w:cs="宋体"/>
          <w:b/>
          <w:color w:val="000000"/>
          <w:sz w:val="24"/>
        </w:rPr>
        <w:t>产品基本情况</w:t>
      </w:r>
    </w:p>
    <w:p>
      <w:pPr>
        <w:numPr>
          <w:ilvl w:val="0"/>
          <w:numId w:val="0"/>
        </w:numPr>
        <w:rPr>
          <w:rFonts w:ascii="宋体" w:hAnsi="宋体" w:eastAsia="宋体" w:cs="宋体"/>
          <w:b/>
          <w:color w:val="000000"/>
          <w:sz w:val="24"/>
        </w:rPr>
      </w:pPr>
    </w:p>
    <w:tbl>
      <w:tblPr>
        <w:tblStyle w:val="3"/>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产品名称</w:t>
            </w:r>
          </w:p>
        </w:tc>
        <w:tc>
          <w:tcPr>
            <w:tcW w:w="6435" w:type="dxa"/>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信合同利净值型系列理财产品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全国银行业理财信息登记系统编码</w:t>
            </w:r>
          </w:p>
        </w:tc>
        <w:tc>
          <w:tcPr>
            <w:tcW w:w="6435" w:type="dxa"/>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产品登记编码可在“中国理财网www.chinawealth.com.cn”查询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产品运作方式</w:t>
            </w:r>
          </w:p>
        </w:tc>
        <w:tc>
          <w:tcPr>
            <w:tcW w:w="6435"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产品募集方式</w:t>
            </w:r>
          </w:p>
        </w:tc>
        <w:tc>
          <w:tcPr>
            <w:tcW w:w="6435" w:type="dxa"/>
            <w:vAlign w:val="center"/>
          </w:tcPr>
          <w:p>
            <w:pPr>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投资类型</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风险等级</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产品</w:t>
            </w:r>
            <w:r>
              <w:rPr>
                <w:rFonts w:hint="eastAsia" w:ascii="宋体" w:hAnsi="宋体" w:eastAsia="宋体" w:cs="宋体"/>
                <w:b/>
                <w:bCs w:val="0"/>
                <w:color w:val="000000"/>
                <w:sz w:val="21"/>
                <w:szCs w:val="21"/>
                <w:lang w:eastAsia="zh-CN"/>
              </w:rPr>
              <w:t>发行</w:t>
            </w:r>
            <w:r>
              <w:rPr>
                <w:rFonts w:hint="eastAsia" w:ascii="宋体" w:hAnsi="宋体" w:eastAsia="宋体" w:cs="宋体"/>
                <w:b/>
                <w:bCs w:val="0"/>
                <w:color w:val="000000"/>
                <w:sz w:val="21"/>
                <w:szCs w:val="21"/>
              </w:rPr>
              <w:t>人</w:t>
            </w:r>
          </w:p>
        </w:tc>
        <w:tc>
          <w:tcPr>
            <w:tcW w:w="6435" w:type="dxa"/>
            <w:vAlign w:val="center"/>
          </w:tcPr>
          <w:p>
            <w:pPr>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000000"/>
                <w:sz w:val="21"/>
                <w:szCs w:val="21"/>
                <w:lang w:eastAsia="zh-CN"/>
              </w:rPr>
              <w:t>大兴安岭农村商业银行股份有限公司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000000"/>
                <w:sz w:val="21"/>
                <w:szCs w:val="21"/>
              </w:rPr>
              <w:t>产品托管人</w:t>
            </w:r>
          </w:p>
        </w:tc>
        <w:tc>
          <w:tcPr>
            <w:tcW w:w="6435"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lang w:eastAsia="zh-CN"/>
              </w:rPr>
              <w:t>招商</w:t>
            </w:r>
            <w:r>
              <w:rPr>
                <w:rFonts w:hint="eastAsia" w:ascii="宋体" w:hAnsi="宋体" w:eastAsia="宋体" w:cs="宋体"/>
                <w:color w:val="000000"/>
                <w:sz w:val="21"/>
                <w:szCs w:val="21"/>
              </w:rPr>
              <w:t>银行股份有限公司</w:t>
            </w:r>
            <w:r>
              <w:rPr>
                <w:rFonts w:hint="eastAsia" w:ascii="宋体" w:hAnsi="宋体" w:eastAsia="宋体" w:cs="宋体"/>
                <w:color w:val="000000"/>
                <w:sz w:val="21"/>
                <w:szCs w:val="21"/>
                <w:lang w:eastAsia="zh-CN"/>
              </w:rPr>
              <w:t>天津分行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报告期末产品份额</w:t>
            </w:r>
          </w:p>
        </w:tc>
        <w:tc>
          <w:tcPr>
            <w:tcW w:w="6435" w:type="dxa"/>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362,454,000.00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994" w:type="dxa"/>
            <w:vAlign w:val="center"/>
          </w:tcPr>
          <w:p>
            <w:pPr>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报告期末产品资产净值</w:t>
            </w:r>
          </w:p>
        </w:tc>
        <w:tc>
          <w:tcPr>
            <w:tcW w:w="6435" w:type="dxa"/>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368,363,929.10</w:t>
            </w:r>
          </w:p>
        </w:tc>
      </w:tr>
    </w:tbl>
    <w:p>
      <w:pPr>
        <w:numPr>
          <w:ilvl w:val="0"/>
          <w:numId w:val="0"/>
        </w:numPr>
        <w:ind w:firstLine="482" w:firstLineChars="200"/>
        <w:rPr>
          <w:rFonts w:hint="eastAsia" w:ascii="宋体" w:hAnsi="宋体" w:eastAsia="宋体" w:cs="宋体"/>
          <w:b/>
          <w:color w:val="000000"/>
          <w:sz w:val="24"/>
          <w:lang w:eastAsia="zh-CN"/>
        </w:rPr>
      </w:pPr>
    </w:p>
    <w:p>
      <w:pPr>
        <w:numPr>
          <w:ilvl w:val="0"/>
          <w:numId w:val="3"/>
        </w:numPr>
        <w:ind w:firstLine="482" w:firstLineChars="200"/>
        <w:rPr>
          <w:rFonts w:ascii="宋体" w:hAnsi="宋体" w:eastAsia="宋体" w:cs="宋体"/>
          <w:b/>
          <w:color w:val="000000"/>
          <w:sz w:val="24"/>
        </w:rPr>
      </w:pPr>
      <w:r>
        <w:rPr>
          <w:rFonts w:ascii="宋体" w:hAnsi="宋体" w:eastAsia="宋体" w:cs="宋体"/>
          <w:b/>
          <w:color w:val="000000"/>
          <w:sz w:val="24"/>
        </w:rPr>
        <w:t>产品</w:t>
      </w:r>
      <w:r>
        <w:rPr>
          <w:rFonts w:hint="eastAsia" w:ascii="宋体" w:hAnsi="宋体" w:eastAsia="宋体" w:cs="宋体"/>
          <w:b/>
          <w:color w:val="000000"/>
          <w:sz w:val="24"/>
          <w:lang w:eastAsia="zh-CN"/>
        </w:rPr>
        <w:t>净值</w:t>
      </w:r>
      <w:r>
        <w:rPr>
          <w:rFonts w:ascii="宋体" w:hAnsi="宋体" w:eastAsia="宋体" w:cs="宋体"/>
          <w:b/>
          <w:color w:val="000000"/>
          <w:sz w:val="24"/>
        </w:rPr>
        <w:t>表现</w:t>
      </w:r>
    </w:p>
    <w:p>
      <w:pPr>
        <w:numPr>
          <w:ilvl w:val="0"/>
          <w:numId w:val="0"/>
        </w:numPr>
        <w:rPr>
          <w:rFonts w:ascii="宋体" w:hAnsi="宋体" w:eastAsia="宋体" w:cs="宋体"/>
          <w:b/>
          <w:color w:val="000000"/>
          <w:sz w:val="24"/>
        </w:rPr>
      </w:pPr>
    </w:p>
    <w:tbl>
      <w:tblPr>
        <w:tblStyle w:val="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220"/>
        <w:gridCol w:w="1215"/>
        <w:gridCol w:w="1245"/>
        <w:gridCol w:w="720"/>
        <w:gridCol w:w="151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产品登记编码</w:t>
            </w:r>
          </w:p>
        </w:tc>
        <w:tc>
          <w:tcPr>
            <w:tcW w:w="2220"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产品名称</w:t>
            </w:r>
          </w:p>
        </w:tc>
        <w:tc>
          <w:tcPr>
            <w:tcW w:w="121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起息日</w:t>
            </w:r>
          </w:p>
        </w:tc>
        <w:tc>
          <w:tcPr>
            <w:tcW w:w="124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到期日</w:t>
            </w:r>
          </w:p>
        </w:tc>
        <w:tc>
          <w:tcPr>
            <w:tcW w:w="720"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期限(天)</w:t>
            </w:r>
          </w:p>
        </w:tc>
        <w:tc>
          <w:tcPr>
            <w:tcW w:w="1515" w:type="dxa"/>
            <w:vAlign w:val="center"/>
          </w:tcPr>
          <w:p>
            <w:pPr>
              <w:spacing w:line="48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产品类型</w:t>
            </w:r>
          </w:p>
        </w:tc>
        <w:tc>
          <w:tcPr>
            <w:tcW w:w="1050" w:type="dxa"/>
            <w:vAlign w:val="center"/>
          </w:tcPr>
          <w:p>
            <w:pPr>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i w:val="0"/>
                <w:caps w:val="0"/>
                <w:color w:val="auto"/>
                <w:spacing w:val="0"/>
                <w:kern w:val="0"/>
                <w:sz w:val="18"/>
                <w:szCs w:val="18"/>
                <w:lang w:val="en-US" w:eastAsia="zh-CN" w:bidi="ar"/>
              </w:rPr>
              <w:t>产品份额净值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003</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006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w:t>
            </w:r>
            <w:r>
              <w:rPr>
                <w:rFonts w:hint="default" w:ascii="宋体" w:hAnsi="宋体" w:cs="宋体"/>
                <w:b w:val="0"/>
                <w:bCs w:val="0"/>
                <w:i w:val="0"/>
                <w:caps w:val="0"/>
                <w:color w:val="auto"/>
                <w:spacing w:val="0"/>
                <w:kern w:val="0"/>
                <w:sz w:val="18"/>
                <w:szCs w:val="18"/>
                <w:lang w:val="en-US" w:eastAsia="zh-CN" w:bidi="ar"/>
              </w:rPr>
              <w:t>/</w:t>
            </w:r>
            <w:r>
              <w:rPr>
                <w:rFonts w:hint="eastAsia" w:ascii="宋体" w:hAnsi="宋体" w:cs="宋体"/>
                <w:b w:val="0"/>
                <w:bCs w:val="0"/>
                <w:i w:val="0"/>
                <w:caps w:val="0"/>
                <w:color w:val="auto"/>
                <w:spacing w:val="0"/>
                <w:kern w:val="0"/>
                <w:sz w:val="18"/>
                <w:szCs w:val="18"/>
                <w:lang w:val="en-US" w:eastAsia="zh-CN" w:bidi="ar"/>
              </w:rPr>
              <w:t>1/23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w:t>
            </w:r>
            <w:r>
              <w:rPr>
                <w:rFonts w:hint="default" w:ascii="宋体" w:hAnsi="宋体" w:cs="宋体"/>
                <w:b w:val="0"/>
                <w:bCs w:val="0"/>
                <w:i w:val="0"/>
                <w:caps w:val="0"/>
                <w:color w:val="auto"/>
                <w:spacing w:val="0"/>
                <w:kern w:val="0"/>
                <w:sz w:val="18"/>
                <w:szCs w:val="18"/>
                <w:lang w:val="en-US" w:eastAsia="zh-CN" w:bidi="ar"/>
              </w:rPr>
              <w:t>/</w:t>
            </w:r>
            <w:r>
              <w:rPr>
                <w:rFonts w:hint="eastAsia" w:ascii="宋体" w:hAnsi="宋体" w:cs="宋体"/>
                <w:b w:val="0"/>
                <w:bCs w:val="0"/>
                <w:i w:val="0"/>
                <w:caps w:val="0"/>
                <w:color w:val="auto"/>
                <w:spacing w:val="0"/>
                <w:kern w:val="0"/>
                <w:sz w:val="18"/>
                <w:szCs w:val="18"/>
                <w:lang w:val="en-US" w:eastAsia="zh-CN" w:bidi="ar"/>
              </w:rPr>
              <w:t>1/23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019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1</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2024/2/22</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2024/2/29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5/2/27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028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2024/3/14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031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11</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034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2024/3/28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37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5/3/27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40</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14</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5/4/10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43</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2024/4/25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5/4/17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46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5/4/24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49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2024/5/16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5/5/8</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052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2024/5/23</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5/5/15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55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19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2024/5/30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5/5/22</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58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62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2</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2024/6/13</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5/6/12</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64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2024/6/20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67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2024/6/27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5/6/26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74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C</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2024/7/11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5/7/10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40</w:t>
            </w:r>
            <w:r>
              <w:rPr>
                <w:rFonts w:hint="eastAsia" w:ascii="宋体" w:hAnsi="宋体" w:eastAsia="宋体" w:cs="宋体"/>
                <w:b w:val="0"/>
                <w:bCs w:val="0"/>
                <w:color w:val="auto"/>
                <w:kern w:val="0"/>
                <w:sz w:val="18"/>
                <w:szCs w:val="18"/>
                <w:lang w:val="en-US" w:eastAsia="zh-CN" w:bidi="ar"/>
              </w:rPr>
              <w:t>000</w:t>
            </w:r>
            <w:r>
              <w:rPr>
                <w:rFonts w:hint="eastAsia" w:ascii="宋体" w:hAnsi="宋体" w:cs="宋体"/>
                <w:b w:val="0"/>
                <w:bCs w:val="0"/>
                <w:color w:val="auto"/>
                <w:kern w:val="0"/>
                <w:sz w:val="18"/>
                <w:szCs w:val="18"/>
                <w:lang w:val="en-US" w:eastAsia="zh-CN" w:bidi="ar"/>
              </w:rPr>
              <w:t>76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2024/7/18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5/7/17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78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2024/7/25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79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5/7/24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82</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29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5/7/31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84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2024/8/15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5/8/7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2024/9/19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25/9/11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357</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A</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2024/9/26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5/1/9</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105</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00</w:t>
            </w:r>
            <w:r>
              <w:rPr>
                <w:rFonts w:hint="eastAsia" w:ascii="宋体" w:hAnsi="宋体" w:cs="宋体"/>
                <w:b w:val="0"/>
                <w:bCs w:val="0"/>
                <w:color w:val="auto"/>
                <w:kern w:val="0"/>
                <w:sz w:val="18"/>
                <w:szCs w:val="18"/>
                <w:lang w:val="en-US" w:eastAsia="zh-CN" w:bidi="ar"/>
              </w:rPr>
              <w:t>98</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5"/>
                <w:szCs w:val="15"/>
                <w:lang w:val="en-US" w:eastAsia="zh-CN"/>
              </w:rPr>
              <w:t>信合同利净值型系列</w:t>
            </w:r>
            <w:r>
              <w:rPr>
                <w:rFonts w:hint="eastAsia" w:ascii="宋体" w:hAnsi="宋体" w:cs="宋体"/>
                <w:b w:val="0"/>
                <w:bCs w:val="0"/>
                <w:color w:val="auto"/>
                <w:sz w:val="15"/>
                <w:szCs w:val="15"/>
                <w:lang w:val="en-US" w:eastAsia="zh-CN"/>
              </w:rPr>
              <w:t>（社保卡）</w:t>
            </w:r>
            <w:r>
              <w:rPr>
                <w:rFonts w:hint="eastAsia" w:ascii="宋体" w:hAnsi="宋体" w:eastAsia="宋体" w:cs="宋体"/>
                <w:b w:val="0"/>
                <w:bCs w:val="0"/>
                <w:color w:val="auto"/>
                <w:sz w:val="15"/>
                <w:szCs w:val="15"/>
                <w:lang w:val="en-US" w:eastAsia="zh-CN"/>
              </w:rPr>
              <w:t>202</w:t>
            </w:r>
            <w:r>
              <w:rPr>
                <w:rFonts w:hint="eastAsia" w:ascii="宋体" w:hAnsi="宋体" w:cs="宋体"/>
                <w:b w:val="0"/>
                <w:bCs w:val="0"/>
                <w:color w:val="auto"/>
                <w:sz w:val="15"/>
                <w:szCs w:val="15"/>
                <w:lang w:val="en-US" w:eastAsia="zh-CN"/>
              </w:rPr>
              <w:t>4</w:t>
            </w:r>
            <w:r>
              <w:rPr>
                <w:rFonts w:hint="eastAsia" w:ascii="宋体" w:hAnsi="宋体" w:eastAsia="宋体" w:cs="宋体"/>
                <w:b w:val="0"/>
                <w:bCs w:val="0"/>
                <w:color w:val="auto"/>
                <w:sz w:val="15"/>
                <w:szCs w:val="15"/>
                <w:lang w:val="en-US" w:eastAsia="zh-CN"/>
              </w:rPr>
              <w:t>年</w:t>
            </w:r>
            <w:r>
              <w:rPr>
                <w:rFonts w:hint="eastAsia" w:ascii="宋体" w:hAnsi="宋体" w:cs="宋体"/>
                <w:b w:val="0"/>
                <w:bCs w:val="0"/>
                <w:color w:val="auto"/>
                <w:sz w:val="15"/>
                <w:szCs w:val="15"/>
                <w:lang w:val="en-US" w:eastAsia="zh-CN"/>
              </w:rPr>
              <w:t>3</w:t>
            </w:r>
            <w:r>
              <w:rPr>
                <w:rFonts w:hint="eastAsia" w:ascii="宋体" w:hAnsi="宋体" w:eastAsia="宋体" w:cs="宋体"/>
                <w:b w:val="0"/>
                <w:bCs w:val="0"/>
                <w:color w:val="auto"/>
                <w:sz w:val="15"/>
                <w:szCs w:val="15"/>
                <w:lang w:val="en-US" w:eastAsia="zh-CN"/>
              </w:rPr>
              <w:t>期理财产品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2024/10/10</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202</w:t>
            </w:r>
            <w:r>
              <w:rPr>
                <w:rFonts w:hint="eastAsia" w:ascii="宋体" w:hAnsi="宋体" w:cs="宋体"/>
                <w:b w:val="0"/>
                <w:bCs w:val="0"/>
                <w:i w:val="0"/>
                <w:caps w:val="0"/>
                <w:color w:val="auto"/>
                <w:spacing w:val="0"/>
                <w:kern w:val="0"/>
                <w:sz w:val="18"/>
                <w:szCs w:val="18"/>
                <w:lang w:val="en-US" w:eastAsia="zh-CN" w:bidi="ar"/>
              </w:rPr>
              <w:t>5/9/25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350</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100</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38</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2024/10/17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39</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2024/10/24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25/10/23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40</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2024/10/31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25/10/30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106</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41</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2024/11/7</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25/11/6</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42</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2024/11/14</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25/11/13</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109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43</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2024/11/21</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25/11/20</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111</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44</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2024/11/28</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25/11/27</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114</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45</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2024/12/05</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25/12/04</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115</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46</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2024/12/12</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25/12/11</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117</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w:t>
            </w:r>
            <w:r>
              <w:rPr>
                <w:rFonts w:hint="eastAsia" w:ascii="宋体" w:hAnsi="宋体" w:cs="宋体"/>
                <w:b w:val="0"/>
                <w:bCs w:val="0"/>
                <w:color w:val="auto"/>
                <w:sz w:val="18"/>
                <w:szCs w:val="18"/>
                <w:lang w:val="en-US" w:eastAsia="zh-CN"/>
              </w:rPr>
              <w:t>4</w:t>
            </w:r>
            <w:r>
              <w:rPr>
                <w:rFonts w:hint="eastAsia" w:ascii="宋体" w:hAnsi="宋体" w:eastAsia="宋体" w:cs="宋体"/>
                <w:b w:val="0"/>
                <w:bCs w:val="0"/>
                <w:color w:val="auto"/>
                <w:sz w:val="18"/>
                <w:szCs w:val="18"/>
                <w:lang w:val="en-US" w:eastAsia="zh-CN"/>
              </w:rPr>
              <w:t>年</w:t>
            </w:r>
            <w:r>
              <w:rPr>
                <w:rFonts w:hint="eastAsia" w:ascii="宋体" w:hAnsi="宋体" w:cs="宋体"/>
                <w:b w:val="0"/>
                <w:bCs w:val="0"/>
                <w:color w:val="auto"/>
                <w:sz w:val="18"/>
                <w:szCs w:val="18"/>
                <w:lang w:val="en-US" w:eastAsia="zh-CN"/>
              </w:rPr>
              <w:t>47</w:t>
            </w:r>
            <w:r>
              <w:rPr>
                <w:rFonts w:hint="eastAsia" w:ascii="宋体" w:hAnsi="宋体" w:eastAsia="宋体" w:cs="宋体"/>
                <w:b w:val="0"/>
                <w:bCs w:val="0"/>
                <w:color w:val="auto"/>
                <w:sz w:val="18"/>
                <w:szCs w:val="18"/>
                <w:lang w:val="en-US" w:eastAsia="zh-CN"/>
              </w:rPr>
              <w:t>期</w:t>
            </w:r>
            <w:r>
              <w:rPr>
                <w:rFonts w:hint="eastAsia" w:ascii="宋体" w:hAnsi="宋体" w:cs="宋体"/>
                <w:b w:val="0"/>
                <w:bCs w:val="0"/>
                <w:color w:val="auto"/>
                <w:sz w:val="18"/>
                <w:szCs w:val="18"/>
                <w:lang w:val="en-US" w:eastAsia="zh-CN"/>
              </w:rPr>
              <w:t>B</w:t>
            </w:r>
            <w:r>
              <w:rPr>
                <w:rFonts w:hint="eastAsia" w:ascii="宋体" w:hAnsi="宋体" w:eastAsia="宋体" w:cs="宋体"/>
                <w:b w:val="0"/>
                <w:bCs w:val="0"/>
                <w:color w:val="auto"/>
                <w:sz w:val="18"/>
                <w:szCs w:val="18"/>
                <w:lang w:val="en-US" w:eastAsia="zh-CN"/>
              </w:rPr>
              <w:t>款理财产品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2024/12/19</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25/12/18</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kern w:val="0"/>
                <w:sz w:val="18"/>
                <w:szCs w:val="18"/>
                <w:lang w:val="en-US" w:eastAsia="zh-CN" w:bidi="ar"/>
              </w:rPr>
              <w:t>C114562</w:t>
            </w:r>
            <w:r>
              <w:rPr>
                <w:rFonts w:hint="eastAsia" w:ascii="宋体" w:hAnsi="宋体" w:cs="宋体"/>
                <w:b w:val="0"/>
                <w:bCs w:val="0"/>
                <w:color w:val="auto"/>
                <w:kern w:val="0"/>
                <w:sz w:val="18"/>
                <w:szCs w:val="18"/>
                <w:lang w:val="en-US" w:eastAsia="zh-CN" w:bidi="ar"/>
              </w:rPr>
              <w:t>4</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0</w:t>
            </w:r>
            <w:r>
              <w:rPr>
                <w:rFonts w:hint="eastAsia" w:ascii="宋体" w:hAnsi="宋体" w:eastAsia="宋体" w:cs="宋体"/>
                <w:b w:val="0"/>
                <w:bCs w:val="0"/>
                <w:color w:val="auto"/>
                <w:kern w:val="0"/>
                <w:sz w:val="18"/>
                <w:szCs w:val="18"/>
                <w:lang w:val="en-US" w:eastAsia="zh-CN" w:bidi="ar"/>
              </w:rPr>
              <w:t>0</w:t>
            </w:r>
            <w:r>
              <w:rPr>
                <w:rFonts w:hint="eastAsia" w:ascii="宋体" w:hAnsi="宋体" w:cs="宋体"/>
                <w:b w:val="0"/>
                <w:bCs w:val="0"/>
                <w:color w:val="auto"/>
                <w:kern w:val="0"/>
                <w:sz w:val="18"/>
                <w:szCs w:val="18"/>
                <w:lang w:val="en-US" w:eastAsia="zh-CN" w:bidi="ar"/>
              </w:rPr>
              <w:t>119</w:t>
            </w:r>
          </w:p>
        </w:tc>
        <w:tc>
          <w:tcPr>
            <w:tcW w:w="22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信合同利净值型系列2024冰雪旅游专属理财产品</w:t>
            </w:r>
          </w:p>
        </w:tc>
        <w:tc>
          <w:tcPr>
            <w:tcW w:w="1215" w:type="dxa"/>
            <w:vAlign w:val="center"/>
          </w:tcPr>
          <w:p>
            <w:pPr>
              <w:spacing w:line="240" w:lineRule="auto"/>
              <w:jc w:val="center"/>
              <w:rPr>
                <w:rFonts w:hint="eastAsia" w:ascii="宋体" w:hAnsi="宋体" w:eastAsia="宋体" w:cs="宋体"/>
                <w:b w:val="0"/>
                <w:bCs w:val="0"/>
                <w:i w:val="0"/>
                <w:caps w:val="0"/>
                <w:color w:val="auto"/>
                <w:spacing w:val="0"/>
                <w:kern w:val="0"/>
                <w:sz w:val="18"/>
                <w:szCs w:val="18"/>
                <w:lang w:val="en-US" w:eastAsia="zh-CN" w:bidi="ar"/>
              </w:rPr>
            </w:pPr>
            <w:r>
              <w:rPr>
                <w:rFonts w:hint="eastAsia" w:ascii="宋体" w:hAnsi="宋体" w:cs="宋体"/>
                <w:b w:val="0"/>
                <w:bCs w:val="0"/>
                <w:i w:val="0"/>
                <w:caps w:val="0"/>
                <w:color w:val="auto"/>
                <w:spacing w:val="0"/>
                <w:kern w:val="0"/>
                <w:sz w:val="18"/>
                <w:szCs w:val="18"/>
                <w:lang w:val="en-US" w:eastAsia="zh-CN" w:bidi="ar"/>
              </w:rPr>
              <w:t>2024/12/26</w:t>
            </w:r>
          </w:p>
        </w:tc>
        <w:tc>
          <w:tcPr>
            <w:tcW w:w="124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default" w:ascii="宋体" w:hAnsi="宋体" w:cs="宋体"/>
                <w:b w:val="0"/>
                <w:bCs w:val="0"/>
                <w:i w:val="0"/>
                <w:caps w:val="0"/>
                <w:color w:val="auto"/>
                <w:spacing w:val="0"/>
                <w:kern w:val="0"/>
                <w:sz w:val="18"/>
                <w:szCs w:val="18"/>
                <w:lang w:val="en-US" w:eastAsia="zh-CN" w:bidi="ar"/>
              </w:rPr>
              <w:t>20</w:t>
            </w:r>
            <w:r>
              <w:rPr>
                <w:rFonts w:hint="eastAsia" w:ascii="宋体" w:hAnsi="宋体" w:cs="宋体"/>
                <w:b w:val="0"/>
                <w:bCs w:val="0"/>
                <w:i w:val="0"/>
                <w:caps w:val="0"/>
                <w:color w:val="auto"/>
                <w:spacing w:val="0"/>
                <w:kern w:val="0"/>
                <w:sz w:val="18"/>
                <w:szCs w:val="18"/>
                <w:lang w:val="en-US" w:eastAsia="zh-CN" w:bidi="ar"/>
              </w:rPr>
              <w:t>25/12/25</w:t>
            </w:r>
          </w:p>
        </w:tc>
        <w:tc>
          <w:tcPr>
            <w:tcW w:w="720"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i w:val="0"/>
                <w:caps w:val="0"/>
                <w:color w:val="auto"/>
                <w:spacing w:val="0"/>
                <w:kern w:val="0"/>
                <w:sz w:val="18"/>
                <w:szCs w:val="18"/>
                <w:lang w:val="en-US" w:eastAsia="zh-CN" w:bidi="ar"/>
              </w:rPr>
              <w:t>364</w:t>
            </w:r>
          </w:p>
        </w:tc>
        <w:tc>
          <w:tcPr>
            <w:tcW w:w="1515" w:type="dxa"/>
            <w:vAlign w:val="center"/>
          </w:tcPr>
          <w:p>
            <w:pPr>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aps w:val="0"/>
                <w:color w:val="auto"/>
                <w:spacing w:val="0"/>
                <w:kern w:val="0"/>
                <w:sz w:val="18"/>
                <w:szCs w:val="18"/>
                <w:lang w:val="en-US" w:eastAsia="zh-CN" w:bidi="ar"/>
              </w:rPr>
              <w:t>封闭式净值型</w:t>
            </w:r>
          </w:p>
        </w:tc>
        <w:tc>
          <w:tcPr>
            <w:tcW w:w="10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1.0000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color w:val="000000"/>
          <w:sz w:val="24"/>
          <w:lang w:eastAsia="zh-CN"/>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报告期内产品的投资策略和运作分析</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ascii="宋体" w:hAnsi="宋体" w:eastAsia="宋体" w:cs="宋体"/>
          <w:b/>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bCs/>
          <w:color w:val="000000"/>
          <w:sz w:val="21"/>
        </w:rPr>
      </w:pPr>
      <w:r>
        <w:rPr>
          <w:rFonts w:hint="eastAsia" w:ascii="宋体" w:hAnsi="宋体" w:eastAsia="宋体" w:cs="宋体"/>
          <w:b/>
          <w:bCs/>
          <w:color w:val="000000"/>
          <w:sz w:val="21"/>
          <w:lang w:eastAsia="zh-CN"/>
        </w:rPr>
        <w:t>（一）</w:t>
      </w:r>
      <w:r>
        <w:rPr>
          <w:rFonts w:ascii="宋体" w:hAnsi="宋体" w:eastAsia="宋体" w:cs="宋体"/>
          <w:b/>
          <w:bCs/>
          <w:color w:val="000000"/>
          <w:sz w:val="21"/>
        </w:rPr>
        <w:t>市场观点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szCs w:val="21"/>
          <w:highlight w:val="none"/>
          <w:lang w:val="en-US" w:eastAsia="zh-CN"/>
        </w:rPr>
      </w:pPr>
      <w:r>
        <w:rPr>
          <w:rFonts w:ascii="宋体" w:hAnsi="宋体" w:eastAsia="宋体" w:cs="宋体"/>
          <w:sz w:val="21"/>
          <w:szCs w:val="21"/>
        </w:rPr>
        <w:t>2024年，国内宏观经济处于弱修复进程中，央行坚持支持性货币政策立场，债券市场收益率呈现总体下行态势。其间，监管机构密集发声关注长债利率风险，市场投资者对货币政策、财政政策与经济基本面的预期博弈强化。展望2025年，在稳增长诉求增强、宏观政策加码背景下，国内需求有望稳步修复，央行将实施适度宽松的货币政策，重点关注货币政策与财政政策对社会生产需求端与供给端的推动效应。</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bCs/>
          <w:color w:val="000000"/>
          <w:sz w:val="21"/>
        </w:rPr>
      </w:pPr>
      <w:r>
        <w:rPr>
          <w:rFonts w:hint="eastAsia" w:ascii="宋体" w:hAnsi="宋体" w:eastAsia="宋体" w:cs="宋体"/>
          <w:b/>
          <w:bCs/>
          <w:color w:val="000000"/>
          <w:sz w:val="21"/>
          <w:lang w:eastAsia="zh-CN"/>
        </w:rPr>
        <w:t>（二）投资</w:t>
      </w:r>
      <w:r>
        <w:rPr>
          <w:rFonts w:ascii="宋体" w:hAnsi="宋体" w:eastAsia="宋体" w:cs="宋体"/>
          <w:b/>
          <w:bCs/>
          <w:color w:val="000000"/>
          <w:sz w:val="21"/>
        </w:rPr>
        <w:t>运作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eastAsia="zh-CN"/>
        </w:rPr>
        <w:t>理财资产配置以固定收益类为主，投资资产类型为银行存款、信托计划，底层资产为银行存款及债券，</w:t>
      </w:r>
      <w:r>
        <w:rPr>
          <w:rFonts w:hint="eastAsia" w:ascii="宋体" w:hAnsi="宋体" w:eastAsia="宋体" w:cs="宋体"/>
          <w:color w:val="auto"/>
          <w:sz w:val="21"/>
          <w:szCs w:val="21"/>
          <w:highlight w:val="none"/>
        </w:rPr>
        <w:t>在保持本金高安全性的前提下，兼顾资金的流动性与高效益性</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 xml:space="preserve">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2" w:firstLineChars="200"/>
        <w:textAlignment w:val="auto"/>
        <w:outlineLvl w:val="9"/>
        <w:rPr>
          <w:rFonts w:ascii="宋体" w:hAnsi="宋体" w:eastAsia="宋体" w:cs="宋体"/>
          <w:b/>
          <w:color w:val="000000"/>
          <w:sz w:val="24"/>
        </w:rPr>
      </w:pPr>
      <w:r>
        <w:rPr>
          <w:rFonts w:ascii="宋体" w:hAnsi="宋体" w:eastAsia="宋体" w:cs="宋体"/>
          <w:b/>
          <w:color w:val="000000"/>
          <w:sz w:val="24"/>
        </w:rPr>
        <w:t>投资组合情况</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ascii="宋体" w:hAnsi="宋体" w:eastAsia="宋体" w:cs="宋体"/>
          <w:b/>
          <w:color w:val="000000"/>
          <w:sz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color w:val="000000"/>
          <w:sz w:val="21"/>
        </w:rPr>
      </w:pPr>
      <w:r>
        <w:rPr>
          <w:rFonts w:hint="eastAsia" w:ascii="宋体" w:hAnsi="宋体" w:eastAsia="宋体" w:cs="宋体"/>
          <w:b/>
          <w:color w:val="000000"/>
          <w:sz w:val="21"/>
          <w:lang w:eastAsia="zh-CN"/>
        </w:rPr>
        <w:t>（一）</w:t>
      </w:r>
      <w:r>
        <w:rPr>
          <w:rFonts w:ascii="宋体" w:hAnsi="宋体" w:eastAsia="宋体" w:cs="宋体"/>
          <w:b/>
          <w:color w:val="000000"/>
          <w:sz w:val="21"/>
        </w:rPr>
        <w:t>报告期末产品资产组合情况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序号</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资产类型</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金额</w:t>
            </w:r>
          </w:p>
        </w:tc>
        <w:tc>
          <w:tcPr>
            <w:tcW w:w="2130" w:type="dxa"/>
          </w:tcPr>
          <w:p>
            <w:pPr>
              <w:widowControl w:val="0"/>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银行存款</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54,000.00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信托计划</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362,400,000.00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合计</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422,940,000.00</w:t>
            </w:r>
          </w:p>
        </w:tc>
        <w:tc>
          <w:tcPr>
            <w:tcW w:w="2130" w:type="dxa"/>
          </w:tcPr>
          <w:p>
            <w:pPr>
              <w:widowControl w:val="0"/>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100.00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outlineLvl w:val="9"/>
        <w:rPr>
          <w:rFonts w:ascii="宋体" w:hAnsi="宋体" w:eastAsia="宋体" w:cs="宋体"/>
          <w:b/>
          <w:color w:val="000000"/>
          <w:sz w:val="21"/>
        </w:rPr>
      </w:pPr>
      <w:r>
        <w:rPr>
          <w:rFonts w:hint="eastAsia" w:ascii="宋体" w:hAnsi="宋体" w:eastAsia="宋体" w:cs="宋体"/>
          <w:b/>
          <w:color w:val="000000"/>
          <w:sz w:val="21"/>
          <w:lang w:eastAsia="zh-CN"/>
        </w:rPr>
        <w:t>（二）</w:t>
      </w:r>
      <w:r>
        <w:rPr>
          <w:rFonts w:ascii="宋体" w:hAnsi="宋体" w:eastAsia="宋体" w:cs="宋体"/>
          <w:b/>
          <w:color w:val="000000"/>
          <w:sz w:val="21"/>
        </w:rPr>
        <w:t>报告期末杠杆融资情况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报告期末</w:t>
      </w:r>
      <w:r>
        <w:rPr>
          <w:rFonts w:hint="eastAsia" w:ascii="宋体" w:hAnsi="宋体" w:eastAsia="宋体" w:cs="宋体"/>
          <w:color w:val="000000"/>
          <w:sz w:val="21"/>
          <w:lang w:eastAsia="zh-CN"/>
        </w:rPr>
        <w:t>未</w:t>
      </w:r>
      <w:r>
        <w:rPr>
          <w:rFonts w:ascii="宋体" w:hAnsi="宋体" w:eastAsia="宋体" w:cs="宋体"/>
          <w:color w:val="000000"/>
          <w:sz w:val="21"/>
        </w:rPr>
        <w:t>对本产品</w:t>
      </w:r>
      <w:r>
        <w:rPr>
          <w:rFonts w:hint="eastAsia" w:ascii="宋体" w:hAnsi="宋体" w:eastAsia="宋体" w:cs="宋体"/>
          <w:color w:val="000000"/>
          <w:sz w:val="21"/>
          <w:lang w:eastAsia="zh-CN"/>
        </w:rPr>
        <w:t>进行</w:t>
      </w:r>
      <w:r>
        <w:rPr>
          <w:rFonts w:ascii="宋体" w:hAnsi="宋体" w:eastAsia="宋体" w:cs="宋体"/>
          <w:color w:val="000000"/>
          <w:sz w:val="21"/>
        </w:rPr>
        <w:t>杠杆</w:t>
      </w:r>
      <w:r>
        <w:rPr>
          <w:rFonts w:hint="eastAsia" w:ascii="宋体" w:hAnsi="宋体" w:eastAsia="宋体" w:cs="宋体"/>
          <w:color w:val="000000"/>
          <w:sz w:val="21"/>
          <w:lang w:eastAsia="zh-CN"/>
        </w:rPr>
        <w:t>操作</w:t>
      </w:r>
      <w:r>
        <w:rPr>
          <w:rFonts w:ascii="宋体" w:hAnsi="宋体" w:eastAsia="宋体" w:cs="宋体"/>
          <w:color w:val="000000"/>
          <w:sz w:val="21"/>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outlineLvl w:val="9"/>
        <w:rPr>
          <w:rFonts w:ascii="宋体" w:hAnsi="宋体" w:eastAsia="宋体" w:cs="宋体"/>
          <w:b/>
          <w:color w:val="000000"/>
          <w:sz w:val="21"/>
        </w:rPr>
      </w:pPr>
      <w:r>
        <w:rPr>
          <w:rFonts w:hint="eastAsia" w:ascii="宋体" w:hAnsi="宋体" w:eastAsia="宋体" w:cs="宋体"/>
          <w:b/>
          <w:bCs/>
          <w:color w:val="000000"/>
          <w:sz w:val="21"/>
          <w:lang w:eastAsia="zh-CN"/>
        </w:rPr>
        <w:t>（三）</w:t>
      </w:r>
      <w:r>
        <w:rPr>
          <w:rFonts w:ascii="宋体" w:hAnsi="宋体" w:eastAsia="宋体" w:cs="宋体"/>
          <w:b/>
          <w:bCs/>
          <w:color w:val="000000"/>
          <w:sz w:val="21"/>
        </w:rPr>
        <w:t>报</w:t>
      </w:r>
      <w:r>
        <w:rPr>
          <w:rFonts w:ascii="宋体" w:hAnsi="宋体" w:eastAsia="宋体" w:cs="宋体"/>
          <w:b/>
          <w:color w:val="000000"/>
          <w:sz w:val="21"/>
        </w:rPr>
        <w:t>告期末</w:t>
      </w:r>
      <w:r>
        <w:rPr>
          <w:rFonts w:hint="eastAsia" w:ascii="宋体" w:hAnsi="宋体" w:eastAsia="宋体" w:cs="宋体"/>
          <w:b/>
          <w:color w:val="000000"/>
          <w:sz w:val="21"/>
          <w:lang w:eastAsia="zh-CN"/>
        </w:rPr>
        <w:t>底层</w:t>
      </w:r>
      <w:r>
        <w:rPr>
          <w:rFonts w:ascii="宋体" w:hAnsi="宋体" w:eastAsia="宋体" w:cs="宋体"/>
          <w:b/>
          <w:color w:val="000000"/>
          <w:sz w:val="21"/>
        </w:rPr>
        <w:t>资产持仓信息</w:t>
      </w:r>
    </w:p>
    <w:tbl>
      <w:tblPr>
        <w:tblStyle w:val="4"/>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2786"/>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序号</w:t>
            </w:r>
          </w:p>
        </w:tc>
        <w:tc>
          <w:tcPr>
            <w:tcW w:w="2786"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债券类型</w:t>
            </w:r>
          </w:p>
        </w:tc>
        <w:tc>
          <w:tcPr>
            <w:tcW w:w="2788" w:type="dxa"/>
          </w:tcPr>
          <w:p>
            <w:pPr>
              <w:numPr>
                <w:ilvl w:val="0"/>
                <w:numId w:val="0"/>
              </w:numPr>
              <w:spacing w:line="360" w:lineRule="auto"/>
              <w:jc w:val="center"/>
              <w:rPr>
                <w:rFonts w:hint="eastAsia" w:ascii="宋体" w:hAnsi="宋体" w:eastAsia="宋体" w:cs="宋体"/>
                <w:b/>
                <w:bCs w:val="0"/>
                <w:color w:val="000000"/>
                <w:sz w:val="21"/>
                <w:vertAlign w:val="baseline"/>
                <w:lang w:eastAsia="zh-CN"/>
              </w:rPr>
            </w:pPr>
            <w:r>
              <w:rPr>
                <w:rFonts w:hint="eastAsia" w:ascii="宋体" w:hAnsi="宋体" w:eastAsia="宋体" w:cs="宋体"/>
                <w:b/>
                <w:bCs w:val="0"/>
                <w:color w:val="000000"/>
                <w:sz w:val="21"/>
                <w:vertAlign w:val="baseline"/>
                <w:lang w:eastAsia="zh-CN"/>
              </w:rPr>
              <w:t>持仓规模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1</w:t>
            </w:r>
          </w:p>
        </w:tc>
        <w:tc>
          <w:tcPr>
            <w:tcW w:w="2786" w:type="dxa"/>
          </w:tcPr>
          <w:p>
            <w:pPr>
              <w:numPr>
                <w:ilvl w:val="0"/>
                <w:numId w:val="0"/>
              </w:numPr>
              <w:spacing w:line="360" w:lineRule="auto"/>
              <w:jc w:val="center"/>
              <w:rPr>
                <w:rFonts w:ascii="宋体" w:hAnsi="宋体" w:eastAsia="宋体" w:cs="宋体"/>
                <w:b w:val="0"/>
                <w:bCs/>
                <w:color w:val="000000"/>
                <w:sz w:val="21"/>
                <w:vertAlign w:val="baseline"/>
              </w:rPr>
            </w:pPr>
            <w:r>
              <w:rPr>
                <w:rFonts w:hint="eastAsia" w:ascii="宋体" w:hAnsi="宋体" w:eastAsia="宋体" w:cs="宋体"/>
                <w:b w:val="0"/>
                <w:bCs/>
                <w:color w:val="000000"/>
                <w:sz w:val="21"/>
                <w:vertAlign w:val="baseline"/>
                <w:lang w:eastAsia="zh-CN"/>
              </w:rPr>
              <w:t>商业性金融债</w:t>
            </w: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245,000,000.00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2</w:t>
            </w:r>
          </w:p>
        </w:tc>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企业债券</w:t>
            </w: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321,000,000.00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786" w:type="dxa"/>
          </w:tcPr>
          <w:p>
            <w:pPr>
              <w:numPr>
                <w:ilvl w:val="0"/>
                <w:numId w:val="0"/>
              </w:numPr>
              <w:spacing w:line="360" w:lineRule="auto"/>
              <w:jc w:val="center"/>
              <w:rPr>
                <w:rFonts w:hint="eastAsia" w:ascii="宋体" w:hAnsi="宋体" w:eastAsia="宋体" w:cs="宋体"/>
                <w:b w:val="0"/>
                <w:bCs/>
                <w:color w:val="000000"/>
                <w:sz w:val="21"/>
                <w:vertAlign w:val="baseline"/>
                <w:lang w:eastAsia="zh-CN"/>
              </w:rPr>
            </w:pPr>
            <w:r>
              <w:rPr>
                <w:rFonts w:hint="eastAsia" w:ascii="宋体" w:hAnsi="宋体" w:eastAsia="宋体" w:cs="宋体"/>
                <w:b w:val="0"/>
                <w:bCs/>
                <w:color w:val="000000"/>
                <w:sz w:val="21"/>
                <w:vertAlign w:val="baseline"/>
                <w:lang w:eastAsia="zh-CN"/>
              </w:rPr>
              <w:t>合计</w:t>
            </w:r>
          </w:p>
        </w:tc>
        <w:tc>
          <w:tcPr>
            <w:tcW w:w="2786" w:type="dxa"/>
          </w:tcPr>
          <w:p>
            <w:pPr>
              <w:numPr>
                <w:ilvl w:val="0"/>
                <w:numId w:val="0"/>
              </w:numPr>
              <w:spacing w:line="360" w:lineRule="auto"/>
              <w:jc w:val="center"/>
              <w:rPr>
                <w:rFonts w:ascii="宋体" w:hAnsi="宋体" w:eastAsia="宋体" w:cs="宋体"/>
                <w:b w:val="0"/>
                <w:bCs/>
                <w:color w:val="000000"/>
                <w:sz w:val="21"/>
                <w:vertAlign w:val="baseline"/>
              </w:rPr>
            </w:pPr>
          </w:p>
        </w:tc>
        <w:tc>
          <w:tcPr>
            <w:tcW w:w="2788" w:type="dxa"/>
          </w:tcPr>
          <w:p>
            <w:pPr>
              <w:numPr>
                <w:ilvl w:val="0"/>
                <w:numId w:val="0"/>
              </w:numPr>
              <w:spacing w:line="360" w:lineRule="auto"/>
              <w:jc w:val="center"/>
              <w:rPr>
                <w:rFonts w:hint="eastAsia" w:ascii="宋体" w:hAnsi="宋体" w:eastAsia="宋体" w:cs="宋体"/>
                <w:b w:val="0"/>
                <w:bCs/>
                <w:color w:val="000000"/>
                <w:sz w:val="21"/>
                <w:vertAlign w:val="baseline"/>
                <w:lang w:val="en-US" w:eastAsia="zh-CN"/>
              </w:rPr>
            </w:pPr>
            <w:r>
              <w:rPr>
                <w:rFonts w:hint="eastAsia" w:ascii="宋体" w:hAnsi="宋体" w:eastAsia="宋体" w:cs="宋体"/>
                <w:b w:val="0"/>
                <w:bCs/>
                <w:color w:val="000000"/>
                <w:sz w:val="21"/>
                <w:vertAlign w:val="baseline"/>
                <w:lang w:val="en-US" w:eastAsia="zh-CN"/>
              </w:rPr>
              <w:t>566,000,000.00</w:t>
            </w:r>
          </w:p>
        </w:tc>
      </w:tr>
    </w:tbl>
    <w:p>
      <w:pPr>
        <w:numPr>
          <w:ilvl w:val="0"/>
          <w:numId w:val="0"/>
        </w:numPr>
        <w:ind w:leftChars="0"/>
        <w:rPr>
          <w:rFonts w:ascii="宋体" w:hAnsi="宋体" w:eastAsia="宋体" w:cs="宋体"/>
          <w:b/>
          <w:color w:val="000000"/>
          <w:sz w:val="21"/>
        </w:rPr>
      </w:pPr>
    </w:p>
    <w:p>
      <w:pPr>
        <w:numPr>
          <w:ilvl w:val="0"/>
          <w:numId w:val="0"/>
        </w:numPr>
        <w:ind w:firstLine="482" w:firstLineChars="200"/>
        <w:rPr>
          <w:rFonts w:ascii="宋体" w:hAnsi="宋体" w:eastAsia="宋体" w:cs="宋体"/>
          <w:color w:val="000000"/>
          <w:sz w:val="21"/>
        </w:rPr>
      </w:pPr>
      <w:r>
        <w:rPr>
          <w:rFonts w:hint="eastAsia" w:ascii="宋体" w:hAnsi="宋体" w:eastAsia="宋体" w:cs="宋体"/>
          <w:b/>
          <w:color w:val="000000"/>
          <w:sz w:val="24"/>
          <w:lang w:eastAsia="zh-CN"/>
        </w:rPr>
        <w:t>六、理财托管</w:t>
      </w:r>
      <w:r>
        <w:rPr>
          <w:rFonts w:ascii="宋体" w:hAnsi="宋体" w:eastAsia="宋体" w:cs="宋体"/>
          <w:b/>
          <w:color w:val="000000"/>
          <w:sz w:val="24"/>
        </w:rPr>
        <w:t>机构</w:t>
      </w:r>
      <w:r>
        <w:rPr>
          <w:rFonts w:hint="eastAsia" w:ascii="宋体" w:hAnsi="宋体" w:eastAsia="宋体" w:cs="宋体"/>
          <w:b/>
          <w:color w:val="000000"/>
          <w:sz w:val="24"/>
          <w:lang w:eastAsia="zh-CN"/>
        </w:rPr>
        <w:t>报告</w:t>
      </w:r>
      <w:r>
        <w:rPr>
          <w:rFonts w:ascii="宋体" w:hAnsi="宋体" w:eastAsia="宋体" w:cs="宋体"/>
          <w:color w:val="000000"/>
          <w:sz w:val="21"/>
        </w:rPr>
        <w:t xml:space="preserve"> </w:t>
      </w:r>
    </w:p>
    <w:p>
      <w:pPr>
        <w:numPr>
          <w:ilvl w:val="0"/>
          <w:numId w:val="0"/>
        </w:numPr>
        <w:ind w:leftChars="200"/>
        <w:rPr>
          <w:rFonts w:ascii="宋体" w:hAnsi="宋体" w:eastAsia="宋体" w:cs="宋体"/>
          <w:color w:val="000000"/>
          <w:sz w:val="21"/>
        </w:rPr>
      </w:pPr>
      <w:r>
        <w:rPr>
          <w:rFonts w:ascii="宋体" w:hAnsi="宋体" w:eastAsia="宋体" w:cs="宋体"/>
          <w:color w:val="000000"/>
          <w:sz w:val="21"/>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序号</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机构类别</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val="0"/>
                <w:bCs w:val="0"/>
                <w:color w:val="000000"/>
                <w:sz w:val="21"/>
                <w:vertAlign w:val="baseline"/>
                <w:lang w:val="en-US" w:eastAsia="zh-CN"/>
              </w:rPr>
            </w:pPr>
            <w:r>
              <w:rPr>
                <w:rFonts w:hint="eastAsia" w:ascii="宋体" w:hAnsi="宋体" w:eastAsia="宋体" w:cs="宋体"/>
                <w:b w:val="0"/>
                <w:bCs w:val="0"/>
                <w:color w:val="000000"/>
                <w:sz w:val="21"/>
                <w:vertAlign w:val="baseline"/>
                <w:lang w:val="en-US" w:eastAsia="zh-CN"/>
              </w:rPr>
              <w:t>1</w:t>
            </w:r>
          </w:p>
        </w:tc>
        <w:tc>
          <w:tcPr>
            <w:tcW w:w="2841" w:type="dxa"/>
          </w:tcPr>
          <w:p>
            <w:pPr>
              <w:numPr>
                <w:ilvl w:val="0"/>
                <w:numId w:val="0"/>
              </w:numPr>
              <w:spacing w:line="360" w:lineRule="auto"/>
              <w:jc w:val="center"/>
              <w:rPr>
                <w:rFonts w:hint="eastAsia" w:ascii="宋体" w:hAnsi="宋体" w:eastAsia="宋体" w:cs="宋体"/>
                <w:b w:val="0"/>
                <w:bCs w:val="0"/>
                <w:color w:val="000000"/>
                <w:sz w:val="21"/>
                <w:vertAlign w:val="baseline"/>
                <w:lang w:eastAsia="zh-CN"/>
              </w:rPr>
            </w:pPr>
            <w:r>
              <w:rPr>
                <w:rFonts w:hint="eastAsia" w:ascii="宋体" w:hAnsi="宋体" w:eastAsia="宋体" w:cs="宋体"/>
                <w:b w:val="0"/>
                <w:bCs w:val="0"/>
                <w:color w:val="000000"/>
                <w:sz w:val="21"/>
                <w:vertAlign w:val="baseline"/>
                <w:lang w:eastAsia="zh-CN"/>
              </w:rPr>
              <w:t>托管机构</w:t>
            </w:r>
          </w:p>
        </w:tc>
        <w:tc>
          <w:tcPr>
            <w:tcW w:w="2841" w:type="dxa"/>
          </w:tcPr>
          <w:p>
            <w:pPr>
              <w:numPr>
                <w:ilvl w:val="0"/>
                <w:numId w:val="0"/>
              </w:numPr>
              <w:spacing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18"/>
                <w:szCs w:val="18"/>
                <w:vertAlign w:val="baseline"/>
                <w:lang w:eastAsia="zh-CN"/>
              </w:rPr>
              <w:t>招商银行股份有限公司天津分行</w:t>
            </w:r>
          </w:p>
        </w:tc>
      </w:tr>
    </w:tbl>
    <w:p>
      <w:pPr>
        <w:numPr>
          <w:ilvl w:val="0"/>
          <w:numId w:val="0"/>
        </w:numPr>
        <w:ind w:firstLine="482" w:firstLineChars="200"/>
        <w:rPr>
          <w:rFonts w:hint="eastAsia" w:ascii="宋体" w:hAnsi="宋体" w:eastAsia="宋体" w:cs="宋体"/>
          <w:b/>
          <w:color w:val="000000"/>
          <w:sz w:val="24"/>
          <w:lang w:eastAsia="zh-CN"/>
        </w:rPr>
      </w:pPr>
    </w:p>
    <w:p>
      <w:pPr>
        <w:numPr>
          <w:ilvl w:val="0"/>
          <w:numId w:val="0"/>
        </w:numPr>
        <w:ind w:firstLine="422" w:firstLineChars="200"/>
        <w:rPr>
          <w:rFonts w:hint="eastAsia" w:ascii="宋体" w:hAnsi="宋体" w:eastAsia="宋体" w:cs="宋体"/>
          <w:b w:val="0"/>
          <w:bCs/>
          <w:color w:val="000000"/>
          <w:sz w:val="21"/>
          <w:szCs w:val="21"/>
          <w:lang w:eastAsia="zh-CN"/>
        </w:rPr>
      </w:pPr>
      <w:r>
        <w:rPr>
          <w:rFonts w:hint="eastAsia" w:ascii="宋体" w:hAnsi="宋体" w:eastAsia="宋体" w:cs="宋体"/>
          <w:b/>
          <w:bCs w:val="0"/>
          <w:color w:val="000000"/>
          <w:sz w:val="21"/>
          <w:szCs w:val="21"/>
          <w:lang w:eastAsia="zh-CN"/>
        </w:rPr>
        <w:t>托管人声明：</w:t>
      </w:r>
      <w:r>
        <w:rPr>
          <w:rFonts w:ascii="宋体" w:hAnsi="宋体" w:eastAsia="宋体" w:cs="宋体"/>
          <w:sz w:val="21"/>
          <w:szCs w:val="21"/>
        </w:rPr>
        <w:t>招商银行具备完善的公司治理结构、内部稽核监控制度和风险控制制度，在对信合同利净值型系列理财产品托管的过程中，</w:t>
      </w:r>
      <w:r>
        <w:rPr>
          <w:rFonts w:hint="eastAsia" w:ascii="宋体" w:hAnsi="宋体" w:eastAsia="宋体" w:cs="宋体"/>
          <w:sz w:val="21"/>
          <w:szCs w:val="21"/>
          <w:lang w:eastAsia="zh-CN"/>
        </w:rPr>
        <w:t>严格</w:t>
      </w:r>
      <w:r>
        <w:rPr>
          <w:rFonts w:ascii="宋体" w:hAnsi="宋体" w:eastAsia="宋体" w:cs="宋体"/>
          <w:sz w:val="21"/>
          <w:szCs w:val="21"/>
        </w:rPr>
        <w:t>遵守有关法律法规、托管协议的规定，尽职尽责地履行托管义务并安全保管托管资产。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hint="eastAsia" w:ascii="宋体" w:hAnsi="宋体" w:eastAsia="宋体" w:cs="宋体"/>
          <w:color w:val="000000"/>
          <w:sz w:val="21"/>
          <w:lang w:val="en-US" w:eastAsia="zh-CN"/>
        </w:rPr>
        <w:t>本</w:t>
      </w:r>
      <w:r>
        <w:rPr>
          <w:rFonts w:hint="eastAsia" w:ascii="宋体" w:hAnsi="宋体" w:eastAsia="宋体" w:cs="宋体"/>
          <w:color w:val="000000"/>
          <w:sz w:val="21"/>
          <w:lang w:eastAsia="zh-CN"/>
        </w:rPr>
        <w:t>报告期内，</w:t>
      </w:r>
      <w:r>
        <w:rPr>
          <w:rFonts w:ascii="宋体" w:hAnsi="宋体" w:eastAsia="宋体" w:cs="宋体"/>
          <w:color w:val="000000"/>
          <w:sz w:val="21"/>
        </w:rPr>
        <w:t>托管人</w:t>
      </w:r>
      <w:r>
        <w:rPr>
          <w:rFonts w:hint="eastAsia" w:ascii="宋体" w:hAnsi="宋体" w:eastAsia="宋体" w:cs="宋体"/>
          <w:color w:val="000000"/>
          <w:sz w:val="21"/>
          <w:lang w:eastAsia="zh-CN"/>
        </w:rPr>
        <w:t>对估值机构在本理财</w:t>
      </w:r>
      <w:r>
        <w:rPr>
          <w:rFonts w:ascii="宋体" w:hAnsi="宋体" w:eastAsia="宋体" w:cs="宋体"/>
          <w:color w:val="000000"/>
          <w:sz w:val="21"/>
        </w:rPr>
        <w:t>报告中的净值表现、投资组合等内容进行了必要的监督、复核和审查，认为其真实、准确和完整，不存在虚假记载、误导性陈述或者重大遗漏</w:t>
      </w:r>
      <w:r>
        <w:rPr>
          <w:rFonts w:hint="eastAsia" w:ascii="宋体" w:hAnsi="宋体" w:eastAsia="宋体" w:cs="宋体"/>
          <w:color w:val="000000"/>
          <w:sz w:val="21"/>
          <w:lang w:eastAsia="zh-CN"/>
        </w:rPr>
        <w:t>的情形</w:t>
      </w:r>
      <w:r>
        <w:rPr>
          <w:rFonts w:ascii="宋体" w:hAnsi="宋体" w:eastAsia="宋体" w:cs="宋体"/>
          <w:color w:val="000000"/>
          <w:sz w:val="21"/>
        </w:rPr>
        <w:t>。</w:t>
      </w:r>
    </w:p>
    <w:p>
      <w:pPr>
        <w:numPr>
          <w:ilvl w:val="0"/>
          <w:numId w:val="0"/>
        </w:numPr>
        <w:rPr>
          <w:rFonts w:hint="eastAsia" w:ascii="宋体" w:hAnsi="宋体" w:eastAsia="宋体" w:cs="宋体"/>
          <w:b/>
          <w:color w:val="000000"/>
          <w:sz w:val="24"/>
          <w:lang w:eastAsia="zh-CN"/>
        </w:rPr>
      </w:pPr>
    </w:p>
    <w:p>
      <w:pPr>
        <w:numPr>
          <w:ilvl w:val="0"/>
          <w:numId w:val="0"/>
        </w:numPr>
        <w:ind w:firstLine="482" w:firstLineChars="200"/>
        <w:rPr>
          <w:rFonts w:ascii="宋体" w:hAnsi="宋体" w:eastAsia="宋体" w:cs="宋体"/>
          <w:color w:val="000000"/>
          <w:sz w:val="21"/>
        </w:rPr>
      </w:pPr>
      <w:r>
        <w:rPr>
          <w:rFonts w:hint="eastAsia" w:ascii="宋体" w:hAnsi="宋体" w:eastAsia="宋体" w:cs="宋体"/>
          <w:b/>
          <w:color w:val="000000"/>
          <w:sz w:val="24"/>
          <w:lang w:eastAsia="zh-CN"/>
        </w:rPr>
        <w:t>七、理财外包</w:t>
      </w:r>
      <w:r>
        <w:rPr>
          <w:rFonts w:ascii="宋体" w:hAnsi="宋体" w:eastAsia="宋体" w:cs="宋体"/>
          <w:b/>
          <w:color w:val="000000"/>
          <w:sz w:val="24"/>
        </w:rPr>
        <w:t>机构</w:t>
      </w:r>
      <w:r>
        <w:rPr>
          <w:rFonts w:hint="eastAsia" w:ascii="宋体" w:hAnsi="宋体" w:eastAsia="宋体" w:cs="宋体"/>
          <w:b/>
          <w:color w:val="000000"/>
          <w:sz w:val="24"/>
          <w:lang w:eastAsia="zh-CN"/>
        </w:rPr>
        <w:t>报告</w:t>
      </w:r>
      <w:r>
        <w:rPr>
          <w:rFonts w:ascii="宋体" w:hAnsi="宋体" w:eastAsia="宋体" w:cs="宋体"/>
          <w:color w:val="000000"/>
          <w:sz w:val="21"/>
        </w:rPr>
        <w:t xml:space="preserve">  </w:t>
      </w:r>
    </w:p>
    <w:p>
      <w:pPr>
        <w:numPr>
          <w:ilvl w:val="0"/>
          <w:numId w:val="0"/>
        </w:numPr>
        <w:ind w:leftChars="200"/>
        <w:rPr>
          <w:rFonts w:ascii="宋体" w:hAnsi="宋体" w:eastAsia="宋体" w:cs="宋体"/>
          <w:color w:val="000000"/>
          <w:sz w:val="21"/>
        </w:rPr>
      </w:pPr>
      <w:r>
        <w:rPr>
          <w:rFonts w:ascii="宋体" w:hAnsi="宋体" w:eastAsia="宋体" w:cs="宋体"/>
          <w:color w:val="000000"/>
          <w:sz w:val="21"/>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序号</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机构类别</w:t>
            </w:r>
          </w:p>
        </w:tc>
        <w:tc>
          <w:tcPr>
            <w:tcW w:w="2841" w:type="dxa"/>
          </w:tcPr>
          <w:p>
            <w:pPr>
              <w:numPr>
                <w:ilvl w:val="0"/>
                <w:numId w:val="0"/>
              </w:numPr>
              <w:spacing w:line="360" w:lineRule="auto"/>
              <w:jc w:val="center"/>
              <w:rPr>
                <w:rFonts w:hint="eastAsia" w:ascii="宋体" w:hAnsi="宋体" w:eastAsia="宋体" w:cs="宋体"/>
                <w:b/>
                <w:bCs/>
                <w:color w:val="000000"/>
                <w:sz w:val="21"/>
                <w:vertAlign w:val="baseline"/>
                <w:lang w:eastAsia="zh-CN"/>
              </w:rPr>
            </w:pPr>
            <w:r>
              <w:rPr>
                <w:rFonts w:hint="eastAsia" w:ascii="宋体" w:hAnsi="宋体" w:eastAsia="宋体" w:cs="宋体"/>
                <w:b/>
                <w:bCs/>
                <w:color w:val="000000"/>
                <w:sz w:val="21"/>
                <w:vertAlign w:val="baseline"/>
                <w:lang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spacing w:line="360" w:lineRule="auto"/>
              <w:jc w:val="center"/>
              <w:rPr>
                <w:rFonts w:hint="eastAsia" w:ascii="宋体" w:hAnsi="宋体" w:eastAsia="宋体" w:cs="宋体"/>
                <w:b w:val="0"/>
                <w:bCs w:val="0"/>
                <w:color w:val="000000"/>
                <w:sz w:val="21"/>
                <w:vertAlign w:val="baseline"/>
                <w:lang w:val="en-US" w:eastAsia="zh-CN"/>
              </w:rPr>
            </w:pPr>
            <w:r>
              <w:rPr>
                <w:rFonts w:hint="eastAsia" w:ascii="宋体" w:hAnsi="宋体" w:eastAsia="宋体" w:cs="宋体"/>
                <w:b w:val="0"/>
                <w:bCs w:val="0"/>
                <w:color w:val="000000"/>
                <w:sz w:val="21"/>
                <w:vertAlign w:val="baseline"/>
                <w:lang w:val="en-US" w:eastAsia="zh-CN"/>
              </w:rPr>
              <w:t>1</w:t>
            </w:r>
          </w:p>
        </w:tc>
        <w:tc>
          <w:tcPr>
            <w:tcW w:w="2841" w:type="dxa"/>
          </w:tcPr>
          <w:p>
            <w:pPr>
              <w:numPr>
                <w:ilvl w:val="0"/>
                <w:numId w:val="0"/>
              </w:numPr>
              <w:spacing w:line="360" w:lineRule="auto"/>
              <w:jc w:val="center"/>
              <w:rPr>
                <w:rFonts w:hint="eastAsia" w:ascii="宋体" w:hAnsi="宋体" w:eastAsia="宋体" w:cs="宋体"/>
                <w:b w:val="0"/>
                <w:bCs w:val="0"/>
                <w:color w:val="000000"/>
                <w:sz w:val="21"/>
                <w:vertAlign w:val="baseline"/>
                <w:lang w:eastAsia="zh-CN"/>
              </w:rPr>
            </w:pPr>
            <w:r>
              <w:rPr>
                <w:rFonts w:hint="eastAsia" w:ascii="宋体" w:hAnsi="宋体" w:eastAsia="宋体" w:cs="宋体"/>
                <w:b w:val="0"/>
                <w:bCs w:val="0"/>
                <w:color w:val="000000"/>
                <w:sz w:val="21"/>
                <w:vertAlign w:val="baseline"/>
                <w:lang w:eastAsia="zh-CN"/>
              </w:rPr>
              <w:t>估值机构</w:t>
            </w:r>
          </w:p>
        </w:tc>
        <w:tc>
          <w:tcPr>
            <w:tcW w:w="2841" w:type="dxa"/>
          </w:tcPr>
          <w:p>
            <w:pPr>
              <w:numPr>
                <w:ilvl w:val="0"/>
                <w:numId w:val="0"/>
              </w:numPr>
              <w:spacing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sz w:val="21"/>
                <w:szCs w:val="21"/>
              </w:rPr>
              <w:t>中信建投证券股份有限公司</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ascii="宋体" w:hAnsi="宋体" w:eastAsia="宋体" w:cs="宋体"/>
          <w:color w:val="000000"/>
          <w:sz w:val="21"/>
        </w:rPr>
      </w:pPr>
      <w:r>
        <w:rPr>
          <w:rFonts w:ascii="宋体" w:hAnsi="宋体" w:eastAsia="宋体" w:cs="宋体"/>
          <w:color w:val="000000"/>
          <w:sz w:val="21"/>
        </w:rPr>
        <w:t>报告期内，</w:t>
      </w:r>
      <w:r>
        <w:rPr>
          <w:rFonts w:hint="eastAsia" w:ascii="宋体" w:hAnsi="宋体" w:eastAsia="宋体" w:cs="宋体"/>
          <w:color w:val="000000"/>
          <w:sz w:val="21"/>
          <w:lang w:eastAsia="zh-CN"/>
        </w:rPr>
        <w:t>中信建投</w:t>
      </w:r>
      <w:r>
        <w:rPr>
          <w:rFonts w:ascii="宋体" w:hAnsi="宋体" w:eastAsia="宋体" w:cs="宋体"/>
          <w:color w:val="000000"/>
          <w:sz w:val="21"/>
        </w:rPr>
        <w:t>严格遵守《商业银行理财业务监督管理办法》及相关法律法规规定、</w:t>
      </w:r>
      <w:r>
        <w:rPr>
          <w:rFonts w:hint="eastAsia" w:ascii="宋体" w:hAnsi="宋体" w:eastAsia="宋体" w:cs="宋体"/>
          <w:color w:val="000000"/>
          <w:sz w:val="21"/>
          <w:lang w:eastAsia="zh-CN"/>
        </w:rPr>
        <w:t>估值</w:t>
      </w:r>
      <w:r>
        <w:rPr>
          <w:rFonts w:ascii="宋体" w:hAnsi="宋体" w:eastAsia="宋体" w:cs="宋体"/>
          <w:color w:val="000000"/>
          <w:sz w:val="21"/>
        </w:rPr>
        <w:t>协议约定，诚实信用、谨慎勤勉地履行了</w:t>
      </w:r>
      <w:r>
        <w:rPr>
          <w:rFonts w:hint="eastAsia" w:ascii="宋体" w:hAnsi="宋体" w:eastAsia="宋体" w:cs="宋体"/>
          <w:color w:val="000000"/>
          <w:sz w:val="21"/>
          <w:lang w:eastAsia="zh-CN"/>
        </w:rPr>
        <w:t>估值机构</w:t>
      </w:r>
      <w:r>
        <w:rPr>
          <w:rFonts w:ascii="宋体" w:hAnsi="宋体" w:eastAsia="宋体" w:cs="宋体"/>
          <w:color w:val="000000"/>
          <w:sz w:val="21"/>
        </w:rPr>
        <w:t>义务，不存在损害理财产品投资者利益的行为。</w:t>
      </w:r>
    </w:p>
    <w:p>
      <w:pPr>
        <w:numPr>
          <w:ilvl w:val="0"/>
          <w:numId w:val="0"/>
        </w:numPr>
        <w:rPr>
          <w:rFonts w:hint="eastAsia" w:ascii="宋体" w:hAnsi="宋体" w:eastAsia="宋体" w:cs="宋体"/>
          <w:color w:val="000000"/>
          <w:sz w:val="21"/>
          <w:szCs w:val="21"/>
        </w:rPr>
      </w:pPr>
    </w:p>
    <w:p>
      <w:pPr>
        <w:numPr>
          <w:ilvl w:val="0"/>
          <w:numId w:val="0"/>
        </w:numPr>
        <w:rPr>
          <w:rFonts w:hint="eastAsia" w:ascii="宋体" w:hAnsi="宋体" w:eastAsia="宋体" w:cs="宋体"/>
          <w:color w:val="000000"/>
          <w:sz w:val="21"/>
          <w:szCs w:val="21"/>
        </w:rPr>
      </w:pPr>
    </w:p>
    <w:p>
      <w:pPr>
        <w:numPr>
          <w:ilvl w:val="0"/>
          <w:numId w:val="0"/>
        </w:numPr>
        <w:ind w:leftChars="0"/>
        <w:jc w:val="right"/>
        <w:rPr>
          <w:rFonts w:hint="eastAsia" w:ascii="宋体" w:hAnsi="宋体" w:eastAsia="宋体" w:cs="宋体"/>
          <w:b w:val="0"/>
          <w:bCs/>
          <w:color w:val="000000"/>
          <w:sz w:val="21"/>
          <w:lang w:eastAsia="zh-CN"/>
        </w:rPr>
      </w:pPr>
      <w:r>
        <w:rPr>
          <w:rFonts w:hint="eastAsia" w:ascii="宋体" w:hAnsi="宋体" w:eastAsia="宋体" w:cs="宋体"/>
          <w:b w:val="0"/>
          <w:bCs/>
          <w:color w:val="000000"/>
          <w:sz w:val="21"/>
          <w:lang w:eastAsia="zh-CN"/>
        </w:rPr>
        <w:t>大兴安岭农村商业银行股份有限公司</w:t>
      </w:r>
    </w:p>
    <w:p>
      <w:pPr>
        <w:numPr>
          <w:ilvl w:val="0"/>
          <w:numId w:val="0"/>
        </w:numPr>
        <w:ind w:leftChars="0"/>
        <w:jc w:val="right"/>
        <w:rPr>
          <w:rFonts w:hint="eastAsia" w:ascii="宋体" w:hAnsi="宋体" w:eastAsia="宋体" w:cs="宋体"/>
          <w:b/>
          <w:color w:val="000000"/>
          <w:sz w:val="21"/>
          <w:lang w:val="en-US" w:eastAsia="zh-CN"/>
        </w:rPr>
      </w:pPr>
      <w:r>
        <w:rPr>
          <w:rFonts w:hint="eastAsia" w:ascii="宋体" w:hAnsi="宋体" w:eastAsia="宋体" w:cs="宋体"/>
          <w:b w:val="0"/>
          <w:bCs/>
          <w:color w:val="000000"/>
          <w:sz w:val="21"/>
          <w:lang w:val="en-US" w:eastAsia="zh-CN"/>
        </w:rPr>
        <w:t>二〇二四年十二月三十一日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FF09D"/>
    <w:multiLevelType w:val="singleLevel"/>
    <w:tmpl w:val="B7FFF09D"/>
    <w:lvl w:ilvl="0" w:tentative="0">
      <w:start w:val="1"/>
      <w:numFmt w:val="chineseCounting"/>
      <w:suff w:val="nothing"/>
      <w:lvlText w:val="%1、"/>
      <w:lvlJc w:val="left"/>
      <w:rPr>
        <w:rFonts w:hint="eastAsia"/>
      </w:rPr>
    </w:lvl>
  </w:abstractNum>
  <w:abstractNum w:abstractNumId="1">
    <w:nsid w:val="462A955A"/>
    <w:multiLevelType w:val="singleLevel"/>
    <w:tmpl w:val="462A955A"/>
    <w:lvl w:ilvl="0" w:tentative="0">
      <w:start w:val="3"/>
      <w:numFmt w:val="chineseCounting"/>
      <w:suff w:val="nothing"/>
      <w:lvlText w:val="%1、"/>
      <w:lvlJc w:val="left"/>
      <w:rPr>
        <w:rFonts w:hint="eastAsia"/>
      </w:rPr>
    </w:lvl>
  </w:abstractNum>
  <w:abstractNum w:abstractNumId="2">
    <w:nsid w:val="741E2EA1"/>
    <w:multiLevelType w:val="singleLevel"/>
    <w:tmpl w:val="741E2EA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C5F70"/>
    <w:rsid w:val="02D1559E"/>
    <w:rsid w:val="04C156F9"/>
    <w:rsid w:val="0C9F6573"/>
    <w:rsid w:val="102F3F6C"/>
    <w:rsid w:val="1E882A4F"/>
    <w:rsid w:val="20C67C09"/>
    <w:rsid w:val="22CC5F70"/>
    <w:rsid w:val="249D344A"/>
    <w:rsid w:val="2B9E5991"/>
    <w:rsid w:val="2C155412"/>
    <w:rsid w:val="2C937FF9"/>
    <w:rsid w:val="39191AA1"/>
    <w:rsid w:val="3C196B64"/>
    <w:rsid w:val="3C74570A"/>
    <w:rsid w:val="40121469"/>
    <w:rsid w:val="43C8512D"/>
    <w:rsid w:val="47FD4EBB"/>
    <w:rsid w:val="484E54F7"/>
    <w:rsid w:val="4A6326D5"/>
    <w:rsid w:val="4C084305"/>
    <w:rsid w:val="52BE1AA7"/>
    <w:rsid w:val="53872689"/>
    <w:rsid w:val="58487FAA"/>
    <w:rsid w:val="58924284"/>
    <w:rsid w:val="653369B9"/>
    <w:rsid w:val="66343FF9"/>
    <w:rsid w:val="66EE7975"/>
    <w:rsid w:val="6AB97CA4"/>
    <w:rsid w:val="72155AED"/>
    <w:rsid w:val="791F1BA1"/>
    <w:rsid w:val="7C8E16A7"/>
    <w:rsid w:val="7CF9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2023-01-10T01:21:00Z</dcterms:created>
  <dc:creator>江宇</dc:creator>
  <cp:lastModifiedBy>江宇</cp:lastModifiedBy>
  <dcterms:modified xsi:type="dcterms:W3CDTF">2025-01-06T08:05:51Z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