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大兴安岭农村商业银行股份有限公司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信合同利</w:t>
      </w:r>
      <w:r>
        <w:rPr>
          <w:rFonts w:hint="eastAsia" w:ascii="黑体" w:hAnsi="黑体" w:eastAsia="黑体" w:cs="黑体"/>
          <w:b/>
          <w:color w:val="000000"/>
          <w:sz w:val="32"/>
        </w:rPr>
        <w:t>净值型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系列</w:t>
      </w:r>
      <w:r>
        <w:rPr>
          <w:rFonts w:hint="eastAsia" w:ascii="黑体" w:hAnsi="黑体" w:eastAsia="黑体" w:cs="黑体"/>
          <w:b/>
          <w:color w:val="000000"/>
          <w:sz w:val="32"/>
        </w:rPr>
        <w:t>理财产品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2025年二季度</w:t>
      </w:r>
      <w:r>
        <w:rPr>
          <w:rFonts w:hint="eastAsia" w:ascii="黑体" w:hAnsi="黑体" w:eastAsia="黑体" w:cs="黑体"/>
          <w:b/>
          <w:color w:val="000000"/>
          <w:sz w:val="32"/>
        </w:rPr>
        <w:t>报告</w:t>
      </w:r>
    </w:p>
    <w:p>
      <w:pPr>
        <w:rPr>
          <w:rFonts w:hint="eastAsia" w:ascii="宋体" w:hAnsi="宋体" w:eastAsia="宋体" w:cs="宋体"/>
          <w:b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重要提示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1"/>
        </w:rPr>
        <w:t>温馨提醒：理财非存款，产品有风险，投资需谨慎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1"/>
        </w:rPr>
        <w:t>理财信息可供参考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</w:rPr>
        <w:t>详情请咨询理财经理，或在“中国理财网www.chinawealth.com.cn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大兴安岭农村商业银行股份有限公司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官网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www.dxalrcb.com</w:t>
      </w:r>
      <w:r>
        <w:rPr>
          <w:rFonts w:hint="eastAsia" w:ascii="宋体" w:hAnsi="宋体" w:eastAsia="宋体" w:cs="宋体"/>
          <w:color w:val="000000"/>
          <w:sz w:val="21"/>
        </w:rPr>
        <w:t>”查询该产品相关信息。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（三）大兴安岭农村商业银行股份有限公司</w:t>
      </w:r>
      <w:r>
        <w:rPr>
          <w:rFonts w:hint="eastAsia" w:ascii="宋体" w:hAnsi="宋体" w:eastAsia="宋体" w:cs="宋体"/>
          <w:color w:val="000000"/>
          <w:sz w:val="21"/>
        </w:rPr>
        <w:t>保留对所有文字说明的最终解释权。</w:t>
      </w: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产品基本情况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产品名称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信合同利净值型系列理财产品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全国银行业理财信息登记系统编码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产品登记编码可在“中国理财网www.chinawealth.com.cn”查询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产品运作方式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产品募集方式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投资类型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风险等级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发行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大兴安岭农村商业银行股份有限公司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产品托管人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招商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银行股份有限公司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天津分行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报告期末产品份额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346,659,000.00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报告期末产品资产净值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350,933,128.20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净值</w:t>
      </w:r>
      <w:r>
        <w:rPr>
          <w:rFonts w:ascii="宋体" w:hAnsi="宋体" w:eastAsia="宋体" w:cs="宋体"/>
          <w:b/>
          <w:color w:val="000000"/>
          <w:sz w:val="24"/>
        </w:rPr>
        <w:t>表现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5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20"/>
        <w:gridCol w:w="1215"/>
        <w:gridCol w:w="1245"/>
        <w:gridCol w:w="720"/>
        <w:gridCol w:w="15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信合同利净值型系列2024年25期C款理财产品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2024/7/25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C1145624000082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2025/7/31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C1145624000084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C1145624000094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C1145624000098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信合同利净值型系列（社保卡）2024年3期理财产品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2025/11/13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2025/11/27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信合同利净值型系列2024冰雪旅游专属理财产品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C1145624000123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2025/1/23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2026/1/22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2026/1/29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2026/5/14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信合同利净值型系列（社保卡）2025年1期理财产品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C1145625000040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C1145625000043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报告期内产品的投资策略和运作分析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bCs/>
          <w:color w:val="000000"/>
          <w:sz w:val="21"/>
        </w:rPr>
        <w:t>市场观点</w:t>
      </w:r>
    </w:p>
    <w:p>
      <w:pPr>
        <w:spacing w:beforeLines="0" w:afterLines="0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基本面：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2025 年二季度经济基本面总体平稳、稳中有进。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政策面：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货币政策保持稳健偏宽松基调。整体上，央行通过“降准+降息+买断式逆回购扩量”的组合，维持市场资金平稳运行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。资金面：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央行延续稳健货币政策，通过MLF 和逆回购精准调节流动性，资金利率中枢整体下行。债券走势：2025 年二季度,主要受国内经济数据、货币政策预期及海外市场环境影响，收益率整体呈现“先快速下行后窄幅震荡”的格局。未来展望：货币宽松与经济下行支撑债市，但财政发力及政策传导滞后形成压制。利率债预计继续窄幅震荡，短端受益资金利率下行，长端受供给扰动。策略以票息机会与波段操作为主，严守流动性防御底线，优先保障资产收益覆盖负债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（二）投资</w:t>
      </w:r>
      <w:r>
        <w:rPr>
          <w:rFonts w:ascii="宋体" w:hAnsi="宋体" w:eastAsia="宋体" w:cs="宋体"/>
          <w:b/>
          <w:bCs/>
          <w:color w:val="000000"/>
          <w:sz w:val="21"/>
        </w:rPr>
        <w:t>运作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理财资产配置以固定收益类为主，投资资产类型为银行存款、信托计划，底层资产为银行存款及债券，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在保持本金高安全性的前提下，兼顾资金的流动性与高效益性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投资组合情况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color w:val="000000"/>
          <w:sz w:val="21"/>
        </w:rPr>
        <w:t>报告期末产品资产组合情况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资产类型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金额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银行存款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69,000.00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信托计划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346,590,000.00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99.98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346,659,000.00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（二）</w:t>
      </w:r>
      <w:r>
        <w:rPr>
          <w:rFonts w:ascii="宋体" w:hAnsi="宋体" w:eastAsia="宋体" w:cs="宋体"/>
          <w:b/>
          <w:color w:val="000000"/>
          <w:sz w:val="21"/>
        </w:rPr>
        <w:t>报告期末杠杆融资情况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报告期末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未</w:t>
      </w:r>
      <w:r>
        <w:rPr>
          <w:rFonts w:ascii="宋体" w:hAnsi="宋体" w:eastAsia="宋体" w:cs="宋体"/>
          <w:color w:val="000000"/>
          <w:sz w:val="21"/>
        </w:rPr>
        <w:t>对本产品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进行</w:t>
      </w:r>
      <w:r>
        <w:rPr>
          <w:rFonts w:ascii="宋体" w:hAnsi="宋体" w:eastAsia="宋体" w:cs="宋体"/>
          <w:color w:val="000000"/>
          <w:sz w:val="21"/>
        </w:rPr>
        <w:t>杠杆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操作</w:t>
      </w:r>
      <w:r>
        <w:rPr>
          <w:rFonts w:ascii="宋体" w:hAnsi="宋体" w:eastAsia="宋体" w:cs="宋体"/>
          <w:color w:val="000000"/>
          <w:sz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（三）</w:t>
      </w:r>
      <w:r>
        <w:rPr>
          <w:rFonts w:ascii="宋体" w:hAnsi="宋体" w:eastAsia="宋体" w:cs="宋体"/>
          <w:b/>
          <w:bCs/>
          <w:color w:val="000000"/>
          <w:sz w:val="21"/>
        </w:rPr>
        <w:t>报</w:t>
      </w:r>
      <w:r>
        <w:rPr>
          <w:rFonts w:ascii="宋体" w:hAnsi="宋体" w:eastAsia="宋体" w:cs="宋体"/>
          <w:b/>
          <w:color w:val="000000"/>
          <w:sz w:val="21"/>
        </w:rPr>
        <w:t>告期末</w:t>
      </w: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底层</w:t>
      </w:r>
      <w:r>
        <w:rPr>
          <w:rFonts w:ascii="宋体" w:hAnsi="宋体" w:eastAsia="宋体" w:cs="宋体"/>
          <w:b/>
          <w:color w:val="000000"/>
          <w:sz w:val="21"/>
        </w:rPr>
        <w:t>资产持仓信息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786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债券类型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持仓规模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商业性金融债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245,000,000.00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企业债券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321,000,000.00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566,000,000.00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sz w:val="21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六、理财托管</w:t>
      </w:r>
      <w:r>
        <w:rPr>
          <w:rFonts w:ascii="宋体" w:hAnsi="宋体" w:eastAsia="宋体" w:cs="宋体"/>
          <w:b/>
          <w:color w:val="000000"/>
          <w:sz w:val="24"/>
        </w:rPr>
        <w:t>机构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报告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机构类别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托管机构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招商银行股份有限公司天津分行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托管人声明：</w:t>
      </w:r>
      <w:r>
        <w:rPr>
          <w:rFonts w:ascii="宋体" w:hAnsi="宋体" w:eastAsia="宋体" w:cs="宋体"/>
          <w:sz w:val="21"/>
          <w:szCs w:val="21"/>
        </w:rPr>
        <w:t>招商银行具备完善的公司治理结构、内部稽核监控制度和风险控制制度，在对信合同利净值型系列理财产品托管的过程中，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严格</w:t>
      </w:r>
      <w:r>
        <w:rPr>
          <w:rFonts w:ascii="宋体" w:hAnsi="宋体" w:eastAsia="宋体" w:cs="宋体"/>
          <w:sz w:val="21"/>
          <w:szCs w:val="21"/>
        </w:rPr>
        <w:t>遵守有关法律法规、托管协议的规定，尽职尽责地履行托管义务并安全保管托管资产。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报告期内，</w:t>
      </w:r>
      <w:r>
        <w:rPr>
          <w:rFonts w:ascii="宋体" w:hAnsi="宋体" w:eastAsia="宋体" w:cs="宋体"/>
          <w:color w:val="000000"/>
          <w:sz w:val="21"/>
        </w:rPr>
        <w:t>托管人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对估值机构在本理财</w:t>
      </w:r>
      <w:r>
        <w:rPr>
          <w:rFonts w:ascii="宋体" w:hAnsi="宋体" w:eastAsia="宋体" w:cs="宋体"/>
          <w:color w:val="000000"/>
          <w:sz w:val="21"/>
        </w:rPr>
        <w:t>报告中的净值表现、投资组合等内容进行了必要的监督、复核和审查，认为其真实、准确和完整，不存在虚假记载、误导性陈述或者重大遗漏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的情形</w:t>
      </w:r>
      <w:r>
        <w:rPr>
          <w:rFonts w:ascii="宋体" w:hAnsi="宋体" w:eastAsia="宋体" w:cs="宋体"/>
          <w:color w:val="000000"/>
          <w:sz w:val="21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七、理财外包</w:t>
      </w:r>
      <w:r>
        <w:rPr>
          <w:rFonts w:ascii="宋体" w:hAnsi="宋体" w:eastAsia="宋体" w:cs="宋体"/>
          <w:b/>
          <w:color w:val="000000"/>
          <w:sz w:val="24"/>
        </w:rPr>
        <w:t>机构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报告</w:t>
      </w:r>
      <w:r>
        <w:rPr>
          <w:rFonts w:ascii="宋体" w:hAnsi="宋体" w:eastAsia="宋体" w:cs="宋体"/>
          <w:color w:val="000000"/>
          <w:sz w:val="21"/>
        </w:rPr>
        <w:t xml:space="preserve"> 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机构类别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估值机构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中信建投证券股份有限公司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报告期内，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中信建投</w:t>
      </w:r>
      <w:r>
        <w:rPr>
          <w:rFonts w:ascii="宋体" w:hAnsi="宋体" w:eastAsia="宋体" w:cs="宋体"/>
          <w:color w:val="000000"/>
          <w:sz w:val="21"/>
        </w:rPr>
        <w:t>严格遵守《商业银行理财业务监督管理办法》及相关法律法规规定、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估值</w:t>
      </w:r>
      <w:r>
        <w:rPr>
          <w:rFonts w:ascii="宋体" w:hAnsi="宋体" w:eastAsia="宋体" w:cs="宋体"/>
          <w:color w:val="000000"/>
          <w:sz w:val="21"/>
        </w:rPr>
        <w:t>协议约定，诚实信用、谨慎勤勉地履行了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估值机构</w:t>
      </w:r>
      <w:r>
        <w:rPr>
          <w:rFonts w:ascii="宋体" w:hAnsi="宋体" w:eastAsia="宋体" w:cs="宋体"/>
          <w:color w:val="000000"/>
          <w:sz w:val="21"/>
        </w:rPr>
        <w:t>义务，不存在损害理财产品投资者利益的行为。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  <w:t>大兴安岭农村商业银行股份有限公司</w:t>
      </w: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/>
          <w:color w:val="00000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val="en-US" w:eastAsia="zh-CN"/>
        </w:rPr>
        <w:t>二〇二五年六月三十日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FF09D"/>
    <w:multiLevelType w:val="singleLevel"/>
    <w:tmpl w:val="B7FFF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A955A"/>
    <w:multiLevelType w:val="singleLevel"/>
    <w:tmpl w:val="462A95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1E2EA1"/>
    <w:multiLevelType w:val="singleLevel"/>
    <w:tmpl w:val="741E2E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1559E"/>
    <w:rsid w:val="04C156F9"/>
    <w:rsid w:val="0B4774FA"/>
    <w:rsid w:val="0C9F6573"/>
    <w:rsid w:val="102F3F6C"/>
    <w:rsid w:val="1E882A4F"/>
    <w:rsid w:val="20C67C09"/>
    <w:rsid w:val="22CC5F70"/>
    <w:rsid w:val="249D344A"/>
    <w:rsid w:val="26C6199B"/>
    <w:rsid w:val="2B9E5991"/>
    <w:rsid w:val="2C155412"/>
    <w:rsid w:val="2C937FF9"/>
    <w:rsid w:val="39191AA1"/>
    <w:rsid w:val="3C196B64"/>
    <w:rsid w:val="3C74570A"/>
    <w:rsid w:val="40121469"/>
    <w:rsid w:val="43C8512D"/>
    <w:rsid w:val="47FD4EBB"/>
    <w:rsid w:val="484E54F7"/>
    <w:rsid w:val="4A6326D5"/>
    <w:rsid w:val="4C084305"/>
    <w:rsid w:val="4F6E37B7"/>
    <w:rsid w:val="52BE1AA7"/>
    <w:rsid w:val="53872689"/>
    <w:rsid w:val="58487FAA"/>
    <w:rsid w:val="58924284"/>
    <w:rsid w:val="614C57F6"/>
    <w:rsid w:val="653369B9"/>
    <w:rsid w:val="66343FF9"/>
    <w:rsid w:val="66EE7975"/>
    <w:rsid w:val="6AB97CA4"/>
    <w:rsid w:val="72155AED"/>
    <w:rsid w:val="791F1BA1"/>
    <w:rsid w:val="7C8E16A7"/>
    <w:rsid w:val="7C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2023-01-10T01:21:00Z</dcterms:created>
  <dc:creator>江宇</dc:creator>
  <cp:lastModifiedBy>江宇</cp:lastModifiedBy>
  <dcterms:modified xsi:type="dcterms:W3CDTF">2025-07-04T02:06:36Z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