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4C6" w:rsidRDefault="00E53005">
      <w:pPr>
        <w:jc w:val="center"/>
        <w:rPr>
          <w:rFonts w:ascii="宋体" w:eastAsia="宋体" w:hAnsi="宋体"/>
          <w:b/>
          <w:sz w:val="44"/>
          <w:szCs w:val="44"/>
        </w:rPr>
      </w:pPr>
      <w:r>
        <w:rPr>
          <w:rFonts w:ascii="宋体" w:eastAsia="宋体" w:hAnsi="宋体"/>
          <w:b/>
          <w:sz w:val="44"/>
          <w:szCs w:val="44"/>
        </w:rPr>
        <w:t>大兴安岭农村商业银行股份有限公司</w:t>
      </w:r>
    </w:p>
    <w:p w:rsidR="000844C6" w:rsidRDefault="00E53005">
      <w:pPr>
        <w:jc w:val="center"/>
        <w:rPr>
          <w:rFonts w:ascii="宋体" w:eastAsia="宋体" w:hAnsi="宋体"/>
          <w:b/>
          <w:sz w:val="44"/>
          <w:szCs w:val="44"/>
        </w:rPr>
      </w:pPr>
      <w:r>
        <w:rPr>
          <w:rFonts w:ascii="宋体" w:eastAsia="宋体" w:hAnsi="宋体" w:hint="eastAsia"/>
          <w:b/>
          <w:sz w:val="44"/>
          <w:szCs w:val="44"/>
        </w:rPr>
        <w:t>202</w:t>
      </w:r>
      <w:r w:rsidR="00957A03">
        <w:rPr>
          <w:rFonts w:ascii="宋体" w:eastAsia="宋体" w:hAnsi="宋体" w:hint="eastAsia"/>
          <w:b/>
          <w:sz w:val="44"/>
          <w:szCs w:val="44"/>
        </w:rPr>
        <w:t>5</w:t>
      </w:r>
      <w:r>
        <w:rPr>
          <w:rFonts w:ascii="宋体" w:eastAsia="宋体" w:hAnsi="宋体" w:hint="eastAsia"/>
          <w:b/>
          <w:sz w:val="44"/>
          <w:szCs w:val="44"/>
        </w:rPr>
        <w:t>年</w:t>
      </w:r>
      <w:r w:rsidR="007A4D92">
        <w:rPr>
          <w:rFonts w:ascii="宋体" w:eastAsia="宋体" w:hAnsi="宋体" w:hint="eastAsia"/>
          <w:b/>
          <w:sz w:val="44"/>
          <w:szCs w:val="44"/>
        </w:rPr>
        <w:t>三</w:t>
      </w:r>
      <w:r>
        <w:rPr>
          <w:rFonts w:ascii="宋体" w:eastAsia="宋体" w:hAnsi="宋体" w:hint="eastAsia"/>
          <w:b/>
          <w:sz w:val="44"/>
          <w:szCs w:val="44"/>
        </w:rPr>
        <w:t>季度</w:t>
      </w:r>
      <w:r>
        <w:rPr>
          <w:rFonts w:ascii="宋体" w:eastAsia="宋体" w:hAnsi="宋体"/>
          <w:b/>
          <w:sz w:val="44"/>
          <w:szCs w:val="44"/>
        </w:rPr>
        <w:t>关联交易</w:t>
      </w:r>
      <w:r>
        <w:rPr>
          <w:rFonts w:ascii="宋体" w:eastAsia="宋体" w:hAnsi="宋体" w:hint="eastAsia"/>
          <w:b/>
          <w:sz w:val="44"/>
          <w:szCs w:val="44"/>
        </w:rPr>
        <w:t>情况公告</w:t>
      </w:r>
    </w:p>
    <w:p w:rsidR="000844C6" w:rsidRDefault="00E53005">
      <w:pPr>
        <w:ind w:firstLineChars="200" w:firstLine="640"/>
        <w:rPr>
          <w:rFonts w:ascii="仿宋" w:eastAsia="仿宋" w:hAnsi="仿宋"/>
          <w:sz w:val="32"/>
          <w:szCs w:val="32"/>
        </w:rPr>
      </w:pPr>
      <w:r>
        <w:rPr>
          <w:rFonts w:ascii="仿宋" w:eastAsia="仿宋" w:hAnsi="仿宋"/>
          <w:sz w:val="32"/>
          <w:szCs w:val="32"/>
        </w:rPr>
        <w:t>根据</w:t>
      </w:r>
      <w:r>
        <w:rPr>
          <w:rFonts w:ascii="仿宋" w:eastAsia="仿宋" w:hAnsi="仿宋" w:cs="仿宋" w:hint="eastAsia"/>
          <w:sz w:val="32"/>
          <w:szCs w:val="32"/>
        </w:rPr>
        <w:t>《银行保险机构关联交易管理办法》</w:t>
      </w:r>
      <w:r>
        <w:rPr>
          <w:rFonts w:ascii="仿宋" w:eastAsia="仿宋" w:hAnsi="仿宋" w:hint="eastAsia"/>
          <w:sz w:val="32"/>
          <w:szCs w:val="32"/>
        </w:rPr>
        <w:t>（中国银行保险监督管理委员会令〔2022〕1号）第五十六条和《大兴安岭农村商业银行股份有限公司关联交易管理实施细则》的相关规定，现将大兴安岭农村商业银行股份有限公司（以下简称“本行”）202</w:t>
      </w:r>
      <w:r w:rsidR="00957A03">
        <w:rPr>
          <w:rFonts w:ascii="仿宋" w:eastAsia="仿宋" w:hAnsi="仿宋" w:hint="eastAsia"/>
          <w:sz w:val="32"/>
          <w:szCs w:val="32"/>
        </w:rPr>
        <w:t>5</w:t>
      </w:r>
      <w:r>
        <w:rPr>
          <w:rFonts w:ascii="仿宋" w:eastAsia="仿宋" w:hAnsi="仿宋" w:hint="eastAsia"/>
          <w:sz w:val="32"/>
          <w:szCs w:val="32"/>
        </w:rPr>
        <w:t>年</w:t>
      </w:r>
      <w:r w:rsidR="007A4D92">
        <w:rPr>
          <w:rFonts w:ascii="仿宋" w:eastAsia="仿宋" w:hAnsi="仿宋" w:hint="eastAsia"/>
          <w:sz w:val="32"/>
          <w:szCs w:val="32"/>
        </w:rPr>
        <w:t>三</w:t>
      </w:r>
      <w:r>
        <w:rPr>
          <w:rFonts w:ascii="仿宋" w:eastAsia="仿宋" w:hAnsi="仿宋" w:hint="eastAsia"/>
          <w:sz w:val="32"/>
          <w:szCs w:val="32"/>
        </w:rPr>
        <w:t>季度关联交易情况披露如下：</w:t>
      </w:r>
    </w:p>
    <w:p w:rsidR="000844C6" w:rsidRDefault="00E53005">
      <w:pPr>
        <w:pStyle w:val="a5"/>
        <w:numPr>
          <w:ilvl w:val="0"/>
          <w:numId w:val="1"/>
        </w:numPr>
        <w:ind w:firstLineChars="0"/>
        <w:rPr>
          <w:rFonts w:ascii="黑体" w:eastAsia="黑体" w:hAnsi="黑体"/>
          <w:sz w:val="32"/>
          <w:szCs w:val="32"/>
        </w:rPr>
      </w:pPr>
      <w:r>
        <w:rPr>
          <w:rFonts w:ascii="黑体" w:eastAsia="黑体" w:hAnsi="黑体" w:hint="eastAsia"/>
          <w:sz w:val="32"/>
          <w:szCs w:val="32"/>
        </w:rPr>
        <w:t>关联交易概况</w:t>
      </w:r>
    </w:p>
    <w:p w:rsidR="000844C6" w:rsidRDefault="00E53005">
      <w:pPr>
        <w:ind w:firstLineChars="200" w:firstLine="640"/>
        <w:rPr>
          <w:rFonts w:ascii="仿宋" w:eastAsia="仿宋" w:hAnsi="仿宋" w:cs="黑体"/>
          <w:sz w:val="32"/>
          <w:szCs w:val="32"/>
        </w:rPr>
      </w:pPr>
      <w:r>
        <w:rPr>
          <w:rFonts w:ascii="仿宋" w:eastAsia="仿宋" w:hAnsi="仿宋" w:cs="黑体" w:hint="eastAsia"/>
          <w:sz w:val="32"/>
          <w:szCs w:val="32"/>
        </w:rPr>
        <w:t>本行关联交易遵循一般商业原则、诚实信用原则和公允原则及回避原则，符合有关法律、法规及监管制度规定。202</w:t>
      </w:r>
      <w:r w:rsidR="00D9261F">
        <w:rPr>
          <w:rFonts w:ascii="仿宋" w:eastAsia="仿宋" w:hAnsi="仿宋" w:cs="黑体" w:hint="eastAsia"/>
          <w:sz w:val="32"/>
          <w:szCs w:val="32"/>
        </w:rPr>
        <w:t>5</w:t>
      </w:r>
      <w:r>
        <w:rPr>
          <w:rFonts w:ascii="仿宋" w:eastAsia="仿宋" w:hAnsi="仿宋" w:cs="黑体" w:hint="eastAsia"/>
          <w:sz w:val="32"/>
          <w:szCs w:val="32"/>
        </w:rPr>
        <w:t>年</w:t>
      </w:r>
      <w:r w:rsidR="00676A65">
        <w:rPr>
          <w:rFonts w:ascii="仿宋" w:eastAsia="仿宋" w:hAnsi="仿宋" w:cs="黑体" w:hint="eastAsia"/>
          <w:sz w:val="32"/>
          <w:szCs w:val="32"/>
        </w:rPr>
        <w:t>三</w:t>
      </w:r>
      <w:r>
        <w:rPr>
          <w:rFonts w:ascii="仿宋" w:eastAsia="仿宋" w:hAnsi="仿宋" w:cs="黑体" w:hint="eastAsia"/>
          <w:sz w:val="32"/>
          <w:szCs w:val="32"/>
        </w:rPr>
        <w:t>季度，本行关联交易</w:t>
      </w:r>
      <w:r w:rsidR="006D0A0C">
        <w:rPr>
          <w:rFonts w:ascii="仿宋" w:eastAsia="仿宋" w:hAnsi="仿宋" w:cs="黑体" w:hint="eastAsia"/>
          <w:sz w:val="32"/>
          <w:szCs w:val="32"/>
        </w:rPr>
        <w:t>3</w:t>
      </w:r>
      <w:r>
        <w:rPr>
          <w:rFonts w:ascii="仿宋" w:eastAsia="仿宋" w:hAnsi="仿宋" w:cs="黑体" w:hint="eastAsia"/>
          <w:sz w:val="32"/>
          <w:szCs w:val="32"/>
        </w:rPr>
        <w:t>笔，余额</w:t>
      </w:r>
      <w:r w:rsidR="006D0A0C">
        <w:rPr>
          <w:rFonts w:ascii="仿宋" w:eastAsia="仿宋" w:hAnsi="仿宋" w:cs="黑体" w:hint="eastAsia"/>
          <w:sz w:val="32"/>
          <w:szCs w:val="32"/>
        </w:rPr>
        <w:t>9</w:t>
      </w:r>
      <w:r>
        <w:rPr>
          <w:rFonts w:ascii="仿宋" w:eastAsia="仿宋" w:hAnsi="仿宋" w:cs="黑体" w:hint="eastAsia"/>
          <w:sz w:val="32"/>
          <w:szCs w:val="32"/>
        </w:rPr>
        <w:t>,</w:t>
      </w:r>
      <w:r w:rsidR="006D0A0C">
        <w:rPr>
          <w:rFonts w:ascii="仿宋" w:eastAsia="仿宋" w:hAnsi="仿宋" w:cs="黑体" w:hint="eastAsia"/>
          <w:sz w:val="32"/>
          <w:szCs w:val="32"/>
        </w:rPr>
        <w:t>70</w:t>
      </w:r>
      <w:r w:rsidR="007E28D1">
        <w:rPr>
          <w:rFonts w:ascii="仿宋" w:eastAsia="仿宋" w:hAnsi="仿宋" w:cs="黑体" w:hint="eastAsia"/>
          <w:sz w:val="32"/>
          <w:szCs w:val="32"/>
        </w:rPr>
        <w:t>0</w:t>
      </w:r>
      <w:r>
        <w:rPr>
          <w:rFonts w:ascii="仿宋" w:eastAsia="仿宋" w:hAnsi="仿宋" w:cs="黑体" w:hint="eastAsia"/>
          <w:sz w:val="32"/>
          <w:szCs w:val="32"/>
        </w:rPr>
        <w:t>.00万元，全部为涉及贷款的表内授信业务，其中，重大关联交易</w:t>
      </w:r>
      <w:r w:rsidR="006D0A0C">
        <w:rPr>
          <w:rFonts w:ascii="仿宋" w:eastAsia="仿宋" w:hAnsi="仿宋" w:cs="黑体" w:hint="eastAsia"/>
          <w:sz w:val="32"/>
          <w:szCs w:val="32"/>
        </w:rPr>
        <w:t>2</w:t>
      </w:r>
      <w:r>
        <w:rPr>
          <w:rFonts w:ascii="仿宋" w:eastAsia="仿宋" w:hAnsi="仿宋" w:cs="黑体" w:hint="eastAsia"/>
          <w:sz w:val="32"/>
          <w:szCs w:val="32"/>
        </w:rPr>
        <w:t>笔，余额</w:t>
      </w:r>
      <w:r w:rsidR="006D0A0C">
        <w:rPr>
          <w:rFonts w:ascii="仿宋" w:eastAsia="仿宋" w:hAnsi="仿宋" w:cs="黑体" w:hint="eastAsia"/>
          <w:sz w:val="32"/>
          <w:szCs w:val="32"/>
        </w:rPr>
        <w:t>9</w:t>
      </w:r>
      <w:r>
        <w:rPr>
          <w:rFonts w:ascii="仿宋" w:eastAsia="仿宋" w:hAnsi="仿宋" w:cs="黑体" w:hint="eastAsia"/>
          <w:sz w:val="32"/>
          <w:szCs w:val="32"/>
        </w:rPr>
        <w:t>,</w:t>
      </w:r>
      <w:r w:rsidR="006D0A0C">
        <w:rPr>
          <w:rFonts w:ascii="仿宋" w:eastAsia="仿宋" w:hAnsi="仿宋" w:cs="黑体" w:hint="eastAsia"/>
          <w:sz w:val="32"/>
          <w:szCs w:val="32"/>
        </w:rPr>
        <w:t>40</w:t>
      </w:r>
      <w:r>
        <w:rPr>
          <w:rFonts w:ascii="仿宋" w:eastAsia="仿宋" w:hAnsi="仿宋" w:cs="黑体" w:hint="eastAsia"/>
          <w:sz w:val="32"/>
          <w:szCs w:val="32"/>
        </w:rPr>
        <w:t>0.00万元，一般关联交易</w:t>
      </w:r>
      <w:r w:rsidR="007E28D1">
        <w:rPr>
          <w:rFonts w:ascii="仿宋" w:eastAsia="仿宋" w:hAnsi="仿宋" w:cs="黑体" w:hint="eastAsia"/>
          <w:sz w:val="32"/>
          <w:szCs w:val="32"/>
        </w:rPr>
        <w:t>1</w:t>
      </w:r>
      <w:r>
        <w:rPr>
          <w:rFonts w:ascii="仿宋" w:eastAsia="仿宋" w:hAnsi="仿宋" w:cs="黑体" w:hint="eastAsia"/>
          <w:sz w:val="32"/>
          <w:szCs w:val="32"/>
        </w:rPr>
        <w:t>笔，余额3</w:t>
      </w:r>
      <w:r w:rsidR="007E28D1">
        <w:rPr>
          <w:rFonts w:ascii="仿宋" w:eastAsia="仿宋" w:hAnsi="仿宋" w:cs="黑体" w:hint="eastAsia"/>
          <w:sz w:val="32"/>
          <w:szCs w:val="32"/>
        </w:rPr>
        <w:t>00</w:t>
      </w:r>
      <w:r>
        <w:rPr>
          <w:rFonts w:ascii="仿宋" w:eastAsia="仿宋" w:hAnsi="仿宋" w:cs="黑体" w:hint="eastAsia"/>
          <w:sz w:val="32"/>
          <w:szCs w:val="32"/>
        </w:rPr>
        <w:t>.00万元。</w:t>
      </w:r>
    </w:p>
    <w:p w:rsidR="000844C6" w:rsidRDefault="00E53005">
      <w:pPr>
        <w:pStyle w:val="a5"/>
        <w:ind w:left="640" w:firstLineChars="0" w:firstLine="0"/>
        <w:rPr>
          <w:rFonts w:ascii="黑体" w:eastAsia="黑体" w:hAnsi="黑体" w:cs="黑体"/>
          <w:sz w:val="32"/>
          <w:szCs w:val="32"/>
        </w:rPr>
      </w:pPr>
      <w:r>
        <w:rPr>
          <w:rFonts w:ascii="黑体" w:eastAsia="黑体" w:hAnsi="黑体" w:cs="黑体" w:hint="eastAsia"/>
          <w:sz w:val="32"/>
          <w:szCs w:val="32"/>
        </w:rPr>
        <w:t>二、监管比例执行情况</w:t>
      </w:r>
    </w:p>
    <w:p w:rsidR="000844C6" w:rsidRDefault="00E53005">
      <w:pPr>
        <w:ind w:firstLineChars="200" w:firstLine="640"/>
        <w:rPr>
          <w:rFonts w:ascii="仿宋" w:eastAsia="仿宋" w:hAnsi="仿宋" w:cs="黑体"/>
          <w:sz w:val="32"/>
          <w:szCs w:val="32"/>
        </w:rPr>
      </w:pPr>
      <w:r>
        <w:rPr>
          <w:rFonts w:ascii="仿宋" w:eastAsia="仿宋" w:hAnsi="仿宋" w:cs="黑体" w:hint="eastAsia"/>
          <w:sz w:val="32"/>
          <w:szCs w:val="32"/>
        </w:rPr>
        <w:t>截至202</w:t>
      </w:r>
      <w:r w:rsidR="00D9261F">
        <w:rPr>
          <w:rFonts w:ascii="仿宋" w:eastAsia="仿宋" w:hAnsi="仿宋" w:cs="黑体" w:hint="eastAsia"/>
          <w:sz w:val="32"/>
          <w:szCs w:val="32"/>
        </w:rPr>
        <w:t>5</w:t>
      </w:r>
      <w:r>
        <w:rPr>
          <w:rFonts w:ascii="仿宋" w:eastAsia="仿宋" w:hAnsi="仿宋" w:cs="黑体" w:hint="eastAsia"/>
          <w:sz w:val="32"/>
          <w:szCs w:val="32"/>
        </w:rPr>
        <w:t>年</w:t>
      </w:r>
      <w:r w:rsidR="00676A65">
        <w:rPr>
          <w:rFonts w:ascii="仿宋" w:eastAsia="仿宋" w:hAnsi="仿宋" w:cs="黑体" w:hint="eastAsia"/>
          <w:sz w:val="32"/>
          <w:szCs w:val="32"/>
        </w:rPr>
        <w:t>三</w:t>
      </w:r>
      <w:r>
        <w:rPr>
          <w:rFonts w:ascii="仿宋" w:eastAsia="仿宋" w:hAnsi="仿宋" w:cs="黑体" w:hint="eastAsia"/>
          <w:sz w:val="32"/>
          <w:szCs w:val="32"/>
        </w:rPr>
        <w:t>季度末，上述关联交易中本行对单个关联方的授信余额不超过本行上季末资本净额的10%，对单个关联法人或非法人组织所在集团客户的授信余额不超过本行上季末资本净额的15%，对全部关联方的授信余额不超过本行上季末资本净额的50%，符合监管规定。</w:t>
      </w:r>
    </w:p>
    <w:p w:rsidR="000844C6" w:rsidRDefault="00E53005">
      <w:pPr>
        <w:ind w:firstLineChars="200" w:firstLine="640"/>
        <w:rPr>
          <w:rFonts w:ascii="仿宋" w:eastAsia="仿宋" w:hAnsi="仿宋" w:cs="黑体"/>
          <w:sz w:val="32"/>
          <w:szCs w:val="32"/>
        </w:rPr>
      </w:pPr>
      <w:r>
        <w:rPr>
          <w:rFonts w:ascii="仿宋" w:eastAsia="仿宋" w:hAnsi="仿宋" w:cs="黑体" w:hint="eastAsia"/>
          <w:sz w:val="32"/>
          <w:szCs w:val="32"/>
        </w:rPr>
        <w:t xml:space="preserve">特此公告。    </w:t>
      </w:r>
    </w:p>
    <w:p w:rsidR="000844C6" w:rsidRDefault="00E53005">
      <w:pPr>
        <w:ind w:firstLineChars="900" w:firstLine="2880"/>
        <w:rPr>
          <w:rFonts w:ascii="仿宋" w:eastAsia="仿宋" w:hAnsi="仿宋" w:cs="黑体"/>
          <w:sz w:val="32"/>
          <w:szCs w:val="32"/>
        </w:rPr>
      </w:pPr>
      <w:r>
        <w:rPr>
          <w:rFonts w:ascii="仿宋" w:eastAsia="仿宋" w:hAnsi="仿宋" w:cs="黑体" w:hint="eastAsia"/>
          <w:sz w:val="32"/>
          <w:szCs w:val="32"/>
        </w:rPr>
        <w:t>大兴安岭农村商业银行股份有限公司</w:t>
      </w:r>
    </w:p>
    <w:p w:rsidR="000844C6" w:rsidRDefault="00E53005" w:rsidP="00E748E2">
      <w:pPr>
        <w:ind w:firstLineChars="1400" w:firstLine="4480"/>
        <w:rPr>
          <w:rFonts w:ascii="仿宋" w:eastAsia="仿宋" w:hAnsi="仿宋" w:cs="黑体"/>
          <w:sz w:val="32"/>
          <w:szCs w:val="32"/>
        </w:rPr>
      </w:pPr>
      <w:bookmarkStart w:id="0" w:name="_GoBack"/>
      <w:bookmarkEnd w:id="0"/>
      <w:r>
        <w:rPr>
          <w:rFonts w:ascii="仿宋" w:eastAsia="仿宋" w:hAnsi="仿宋" w:cs="黑体"/>
          <w:sz w:val="32"/>
          <w:szCs w:val="32"/>
        </w:rPr>
        <w:t>202</w:t>
      </w:r>
      <w:r w:rsidR="00CE08E8">
        <w:rPr>
          <w:rFonts w:ascii="仿宋" w:eastAsia="仿宋" w:hAnsi="仿宋" w:cs="黑体" w:hint="eastAsia"/>
          <w:sz w:val="32"/>
          <w:szCs w:val="32"/>
        </w:rPr>
        <w:t>5</w:t>
      </w:r>
      <w:r>
        <w:rPr>
          <w:rFonts w:ascii="仿宋" w:eastAsia="仿宋" w:hAnsi="仿宋" w:cs="黑体"/>
          <w:sz w:val="32"/>
          <w:szCs w:val="32"/>
        </w:rPr>
        <w:t>年</w:t>
      </w:r>
      <w:r w:rsidR="007174C1">
        <w:rPr>
          <w:rFonts w:ascii="仿宋" w:eastAsia="仿宋" w:hAnsi="仿宋" w:cs="黑体" w:hint="eastAsia"/>
          <w:sz w:val="32"/>
          <w:szCs w:val="32"/>
        </w:rPr>
        <w:t>10</w:t>
      </w:r>
      <w:r>
        <w:rPr>
          <w:rFonts w:ascii="仿宋" w:eastAsia="仿宋" w:hAnsi="仿宋" w:cs="黑体"/>
          <w:sz w:val="32"/>
          <w:szCs w:val="32"/>
        </w:rPr>
        <w:t>月</w:t>
      </w:r>
      <w:r w:rsidR="007174C1">
        <w:rPr>
          <w:rFonts w:ascii="仿宋" w:eastAsia="仿宋" w:hAnsi="仿宋" w:cs="黑体" w:hint="eastAsia"/>
          <w:sz w:val="32"/>
          <w:szCs w:val="32"/>
        </w:rPr>
        <w:t>9</w:t>
      </w:r>
      <w:r>
        <w:rPr>
          <w:rFonts w:ascii="仿宋" w:eastAsia="仿宋" w:hAnsi="仿宋" w:cs="黑体"/>
          <w:sz w:val="32"/>
          <w:szCs w:val="32"/>
        </w:rPr>
        <w:t>日</w:t>
      </w:r>
    </w:p>
    <w:sectPr w:rsidR="000844C6" w:rsidSect="000844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7B9" w:rsidRDefault="001917B9" w:rsidP="00705AC3">
      <w:r>
        <w:separator/>
      </w:r>
    </w:p>
  </w:endnote>
  <w:endnote w:type="continuationSeparator" w:id="1">
    <w:p w:rsidR="001917B9" w:rsidRDefault="001917B9" w:rsidP="00705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7B9" w:rsidRDefault="001917B9" w:rsidP="00705AC3">
      <w:r>
        <w:separator/>
      </w:r>
    </w:p>
  </w:footnote>
  <w:footnote w:type="continuationSeparator" w:id="1">
    <w:p w:rsidR="001917B9" w:rsidRDefault="001917B9" w:rsidP="00705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F6A5A"/>
    <w:multiLevelType w:val="multilevel"/>
    <w:tmpl w:val="3F0F6A5A"/>
    <w:lvl w:ilvl="0">
      <w:start w:val="1"/>
      <w:numFmt w:val="japaneseCounting"/>
      <w:lvlText w:val="%1、"/>
      <w:lvlJc w:val="left"/>
      <w:pPr>
        <w:ind w:left="1360" w:hanging="720"/>
      </w:pPr>
      <w:rPr>
        <w:rFonts w:hint="default"/>
      </w:rPr>
    </w:lvl>
    <w:lvl w:ilvl="1">
      <w:start w:val="1"/>
      <w:numFmt w:val="japaneseCounting"/>
      <w:lvlText w:val="（%2）"/>
      <w:lvlJc w:val="left"/>
      <w:pPr>
        <w:ind w:left="2140" w:hanging="1080"/>
      </w:pPr>
      <w:rPr>
        <w:rFonts w:ascii="楷体" w:eastAsia="楷体" w:hAnsi="楷体" w:cs="黑体"/>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5206"/>
    <w:rsid w:val="00006565"/>
    <w:rsid w:val="0006350D"/>
    <w:rsid w:val="000844C6"/>
    <w:rsid w:val="0011431D"/>
    <w:rsid w:val="00131EA1"/>
    <w:rsid w:val="001917B9"/>
    <w:rsid w:val="00211E4F"/>
    <w:rsid w:val="002330FC"/>
    <w:rsid w:val="00371246"/>
    <w:rsid w:val="00406233"/>
    <w:rsid w:val="00442ED4"/>
    <w:rsid w:val="004748C8"/>
    <w:rsid w:val="005B29C2"/>
    <w:rsid w:val="005B3D7C"/>
    <w:rsid w:val="005F1E0D"/>
    <w:rsid w:val="00603A12"/>
    <w:rsid w:val="00633B55"/>
    <w:rsid w:val="00676A65"/>
    <w:rsid w:val="006C2DA1"/>
    <w:rsid w:val="006D0A0C"/>
    <w:rsid w:val="00705AC3"/>
    <w:rsid w:val="007174C1"/>
    <w:rsid w:val="007A4D92"/>
    <w:rsid w:val="007E28D1"/>
    <w:rsid w:val="007E69D6"/>
    <w:rsid w:val="00820D59"/>
    <w:rsid w:val="0085766D"/>
    <w:rsid w:val="008F6FCA"/>
    <w:rsid w:val="009076EB"/>
    <w:rsid w:val="00913998"/>
    <w:rsid w:val="00917BC4"/>
    <w:rsid w:val="00957A03"/>
    <w:rsid w:val="009E6DC1"/>
    <w:rsid w:val="00A24E8D"/>
    <w:rsid w:val="00A505B9"/>
    <w:rsid w:val="00A62B32"/>
    <w:rsid w:val="00A806E3"/>
    <w:rsid w:val="00AC6D49"/>
    <w:rsid w:val="00AE7D27"/>
    <w:rsid w:val="00AF1DBC"/>
    <w:rsid w:val="00BB2A8C"/>
    <w:rsid w:val="00BE5206"/>
    <w:rsid w:val="00C3683B"/>
    <w:rsid w:val="00C6773A"/>
    <w:rsid w:val="00C74CE5"/>
    <w:rsid w:val="00CB1CF5"/>
    <w:rsid w:val="00CE08E8"/>
    <w:rsid w:val="00D147FC"/>
    <w:rsid w:val="00D30A1F"/>
    <w:rsid w:val="00D9261F"/>
    <w:rsid w:val="00DB2AC8"/>
    <w:rsid w:val="00DB42A0"/>
    <w:rsid w:val="00E45E5F"/>
    <w:rsid w:val="00E47243"/>
    <w:rsid w:val="00E53005"/>
    <w:rsid w:val="00E748E2"/>
    <w:rsid w:val="00E75BF7"/>
    <w:rsid w:val="00EB37BA"/>
    <w:rsid w:val="00ED6696"/>
    <w:rsid w:val="00EE7CFC"/>
    <w:rsid w:val="00F03C90"/>
    <w:rsid w:val="00F30FBD"/>
    <w:rsid w:val="00F60FA8"/>
    <w:rsid w:val="00FC0CC0"/>
    <w:rsid w:val="00FD06C3"/>
    <w:rsid w:val="00FD563C"/>
    <w:rsid w:val="00FE3BEA"/>
    <w:rsid w:val="02BA117F"/>
    <w:rsid w:val="02D6784C"/>
    <w:rsid w:val="07073615"/>
    <w:rsid w:val="0D19568F"/>
    <w:rsid w:val="100C7795"/>
    <w:rsid w:val="19361AB8"/>
    <w:rsid w:val="1F4D5173"/>
    <w:rsid w:val="21044EEB"/>
    <w:rsid w:val="30843DB5"/>
    <w:rsid w:val="3F1532EC"/>
    <w:rsid w:val="42EC50D1"/>
    <w:rsid w:val="479A22F1"/>
    <w:rsid w:val="50B04BFB"/>
    <w:rsid w:val="53C93205"/>
    <w:rsid w:val="548734B5"/>
    <w:rsid w:val="5A9116F0"/>
    <w:rsid w:val="66430BE7"/>
    <w:rsid w:val="6B142695"/>
    <w:rsid w:val="6FBF6C29"/>
    <w:rsid w:val="74397652"/>
    <w:rsid w:val="7A1251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844C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844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0844C6"/>
    <w:rPr>
      <w:sz w:val="18"/>
      <w:szCs w:val="18"/>
    </w:rPr>
  </w:style>
  <w:style w:type="character" w:customStyle="1" w:styleId="Char">
    <w:name w:val="页脚 Char"/>
    <w:basedOn w:val="a0"/>
    <w:link w:val="a3"/>
    <w:uiPriority w:val="99"/>
    <w:semiHidden/>
    <w:qFormat/>
    <w:rsid w:val="000844C6"/>
    <w:rPr>
      <w:sz w:val="18"/>
      <w:szCs w:val="18"/>
    </w:rPr>
  </w:style>
  <w:style w:type="paragraph" w:styleId="a5">
    <w:name w:val="List Paragraph"/>
    <w:basedOn w:val="a"/>
    <w:uiPriority w:val="34"/>
    <w:qFormat/>
    <w:rsid w:val="000844C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72</Words>
  <Characters>415</Characters>
  <Application>Microsoft Office Word</Application>
  <DocSecurity>0</DocSecurity>
  <Lines>3</Lines>
  <Paragraphs>1</Paragraphs>
  <ScaleCrop>false</ScaleCrop>
  <Company>Microsoft</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陈思名</dc:creator>
  <cp:lastModifiedBy>Microsoft</cp:lastModifiedBy>
  <cp:revision>157</cp:revision>
  <dcterms:created xsi:type="dcterms:W3CDTF">2023-12-13T07:30:00Z</dcterms:created>
  <dcterms:modified xsi:type="dcterms:W3CDTF">2025-10-09T02:32:00Z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