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color w:val="000000"/>
          <w:sz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color w:val="000000"/>
          <w:sz w:val="32"/>
          <w:lang w:eastAsia="zh-CN"/>
        </w:rPr>
        <w:t>大兴安岭农村商业银行股份有限公司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color w:val="000000"/>
          <w:sz w:val="32"/>
        </w:rPr>
      </w:pPr>
      <w:r>
        <w:rPr>
          <w:rFonts w:hint="eastAsia" w:ascii="黑体" w:hAnsi="黑体" w:eastAsia="黑体" w:cs="黑体"/>
          <w:b/>
          <w:color w:val="000000"/>
          <w:sz w:val="32"/>
          <w:lang w:eastAsia="zh-CN"/>
        </w:rPr>
        <w:t>信合同利</w:t>
      </w:r>
      <w:r>
        <w:rPr>
          <w:rFonts w:hint="eastAsia" w:ascii="黑体" w:hAnsi="黑体" w:eastAsia="黑体" w:cs="黑体"/>
          <w:b/>
          <w:color w:val="000000"/>
          <w:sz w:val="32"/>
        </w:rPr>
        <w:t>净值型</w:t>
      </w:r>
      <w:r>
        <w:rPr>
          <w:rFonts w:hint="eastAsia" w:ascii="黑体" w:hAnsi="黑体" w:eastAsia="黑体" w:cs="黑体"/>
          <w:b/>
          <w:color w:val="000000"/>
          <w:sz w:val="32"/>
          <w:lang w:eastAsia="zh-CN"/>
        </w:rPr>
        <w:t>系列</w:t>
      </w:r>
      <w:r>
        <w:rPr>
          <w:rFonts w:hint="eastAsia" w:ascii="黑体" w:hAnsi="黑体" w:eastAsia="黑体" w:cs="黑体"/>
          <w:b/>
          <w:color w:val="000000"/>
          <w:sz w:val="32"/>
        </w:rPr>
        <w:t>理财产品</w:t>
      </w:r>
      <w:r>
        <w:rPr>
          <w:rFonts w:hint="eastAsia" w:ascii="黑体" w:hAnsi="黑体" w:eastAsia="黑体" w:cs="黑体"/>
          <w:b/>
          <w:color w:val="000000"/>
          <w:sz w:val="32"/>
          <w:lang w:eastAsia="zh-CN"/>
        </w:rPr>
        <w:t>2025年三季度</w:t>
      </w:r>
      <w:r>
        <w:rPr>
          <w:rFonts w:hint="eastAsia" w:ascii="黑体" w:hAnsi="黑体" w:eastAsia="黑体" w:cs="黑体"/>
          <w:b/>
          <w:color w:val="000000"/>
          <w:sz w:val="32"/>
        </w:rPr>
        <w:t>报告</w:t>
      </w:r>
    </w:p>
    <w:p>
      <w:pPr>
        <w:rPr>
          <w:rFonts w:hint="eastAsia" w:ascii="宋体" w:hAnsi="宋体" w:eastAsia="宋体" w:cs="宋体"/>
          <w:b/>
          <w:color w:val="000000"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8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4"/>
        </w:rPr>
      </w:pPr>
      <w:r>
        <w:rPr>
          <w:rFonts w:ascii="宋体" w:hAnsi="宋体" w:eastAsia="宋体" w:cs="宋体"/>
          <w:b/>
          <w:color w:val="000000"/>
          <w:sz w:val="24"/>
        </w:rPr>
        <w:t>重要提示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ascii="宋体" w:hAnsi="宋体" w:eastAsia="宋体" w:cs="宋体"/>
          <w:b/>
          <w:color w:val="000000"/>
          <w:sz w:val="2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hint="eastAsia" w:ascii="宋体" w:hAnsi="宋体" w:eastAsia="宋体" w:cs="宋体"/>
          <w:color w:val="000000"/>
          <w:sz w:val="21"/>
          <w:lang w:eastAsia="zh-CN"/>
        </w:rPr>
      </w:pPr>
      <w:r>
        <w:rPr>
          <w:rFonts w:hint="eastAsia" w:ascii="宋体" w:hAnsi="宋体" w:eastAsia="宋体" w:cs="宋体"/>
          <w:color w:val="000000"/>
          <w:sz w:val="21"/>
          <w:lang w:eastAsia="zh-CN"/>
        </w:rPr>
        <w:t>（一）</w:t>
      </w:r>
      <w:r>
        <w:rPr>
          <w:rFonts w:hint="eastAsia" w:ascii="宋体" w:hAnsi="宋体" w:eastAsia="宋体" w:cs="宋体"/>
          <w:color w:val="000000"/>
          <w:sz w:val="21"/>
        </w:rPr>
        <w:t>温馨提醒：理财非存款，产品有风险，投资需谨慎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left"/>
        <w:textAlignment w:val="auto"/>
        <w:outlineLvl w:val="9"/>
        <w:rPr>
          <w:rFonts w:hint="eastAsia" w:ascii="宋体" w:hAnsi="宋体" w:eastAsia="宋体" w:cs="宋体"/>
          <w:color w:val="000000"/>
          <w:sz w:val="21"/>
        </w:rPr>
      </w:pPr>
      <w:r>
        <w:rPr>
          <w:rFonts w:hint="eastAsia" w:ascii="宋体" w:hAnsi="宋体" w:eastAsia="宋体" w:cs="宋体"/>
          <w:color w:val="000000"/>
          <w:sz w:val="21"/>
          <w:lang w:eastAsia="zh-CN"/>
        </w:rPr>
        <w:t>（二）</w:t>
      </w:r>
      <w:r>
        <w:rPr>
          <w:rFonts w:hint="eastAsia" w:ascii="宋体" w:hAnsi="宋体" w:eastAsia="宋体" w:cs="宋体"/>
          <w:color w:val="000000"/>
          <w:sz w:val="21"/>
        </w:rPr>
        <w:t>理财信息可供参考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，</w:t>
      </w:r>
      <w:r>
        <w:rPr>
          <w:rFonts w:hint="eastAsia" w:ascii="宋体" w:hAnsi="宋体" w:eastAsia="宋体" w:cs="宋体"/>
          <w:color w:val="000000"/>
          <w:sz w:val="21"/>
        </w:rPr>
        <w:t>详情请咨询理财经理，或在“中国理财网www.chinawealth.com.cn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sz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大兴安岭农村商业银行股份有限公司</w:t>
      </w:r>
      <w:r>
        <w:rPr>
          <w:rFonts w:hint="eastAsia" w:ascii="宋体" w:hAnsi="宋体" w:eastAsia="宋体" w:cs="宋体"/>
          <w:color w:val="000000"/>
          <w:sz w:val="21"/>
          <w:lang w:val="en-US" w:eastAsia="zh-CN"/>
        </w:rPr>
        <w:t xml:space="preserve">官网 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www.dxalrcb.com</w:t>
      </w:r>
      <w:r>
        <w:rPr>
          <w:rFonts w:hint="eastAsia" w:ascii="宋体" w:hAnsi="宋体" w:eastAsia="宋体" w:cs="宋体"/>
          <w:color w:val="000000"/>
          <w:sz w:val="21"/>
        </w:rPr>
        <w:t>”查询该产品相关信息。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hint="eastAsia" w:ascii="宋体" w:hAnsi="宋体" w:eastAsia="宋体" w:cs="宋体"/>
          <w:color w:val="000000"/>
          <w:sz w:val="21"/>
        </w:rPr>
      </w:pPr>
      <w:r>
        <w:rPr>
          <w:rFonts w:hint="eastAsia" w:ascii="宋体" w:hAnsi="宋体" w:eastAsia="宋体" w:cs="宋体"/>
          <w:color w:val="000000"/>
          <w:sz w:val="21"/>
          <w:lang w:eastAsia="zh-CN"/>
        </w:rPr>
        <w:t>（三）大兴安岭农村商业银行股份有限公司</w:t>
      </w:r>
      <w:r>
        <w:rPr>
          <w:rFonts w:hint="eastAsia" w:ascii="宋体" w:hAnsi="宋体" w:eastAsia="宋体" w:cs="宋体"/>
          <w:color w:val="000000"/>
          <w:sz w:val="21"/>
        </w:rPr>
        <w:t>保留对所有文字说明的最终解释权。</w:t>
      </w:r>
    </w:p>
    <w:p>
      <w:pPr>
        <w:numPr>
          <w:ilvl w:val="0"/>
          <w:numId w:val="0"/>
        </w:numPr>
        <w:ind w:firstLine="482" w:firstLineChars="200"/>
        <w:rPr>
          <w:rFonts w:ascii="宋体" w:hAnsi="宋体" w:eastAsia="宋体" w:cs="宋体"/>
          <w:b/>
          <w:color w:val="000000"/>
          <w:sz w:val="24"/>
        </w:rPr>
      </w:pPr>
    </w:p>
    <w:p>
      <w:pPr>
        <w:numPr>
          <w:ilvl w:val="0"/>
          <w:numId w:val="2"/>
        </w:numPr>
        <w:ind w:firstLine="482" w:firstLineChars="200"/>
        <w:rPr>
          <w:rFonts w:ascii="宋体" w:hAnsi="宋体" w:eastAsia="宋体" w:cs="宋体"/>
          <w:b/>
          <w:color w:val="000000"/>
          <w:sz w:val="24"/>
        </w:rPr>
      </w:pPr>
      <w:r>
        <w:rPr>
          <w:rFonts w:ascii="宋体" w:hAnsi="宋体" w:eastAsia="宋体" w:cs="宋体"/>
          <w:b/>
          <w:color w:val="000000"/>
          <w:sz w:val="24"/>
        </w:rPr>
        <w:t>产品基本情况</w:t>
      </w:r>
    </w:p>
    <w:p>
      <w:pPr>
        <w:numPr>
          <w:ilvl w:val="0"/>
          <w:numId w:val="0"/>
        </w:numPr>
        <w:rPr>
          <w:rFonts w:ascii="宋体" w:hAnsi="宋体" w:eastAsia="宋体" w:cs="宋体"/>
          <w:b/>
          <w:color w:val="000000"/>
          <w:sz w:val="24"/>
        </w:rPr>
      </w:pPr>
    </w:p>
    <w:tbl>
      <w:tblPr>
        <w:tblStyle w:val="4"/>
        <w:tblW w:w="942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4"/>
        <w:gridCol w:w="6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产品名称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信合同利净值型系列理财产品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全国银行业理财信息登记系统编码</w:t>
            </w:r>
          </w:p>
        </w:tc>
        <w:tc>
          <w:tcPr>
            <w:tcW w:w="64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产品登记编码可在“中国理财网www.chinawealth.com.cn”查询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  <w:t>产品运作方式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封闭式净值型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  <w:t>产品募集方式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公募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  <w:t>投资类型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固定收益类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  <w:t>风险等级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R2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  <w:t>产品</w:t>
            </w: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  <w:t>发行</w:t>
            </w: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  <w:t>人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  <w:t>大兴安岭农村商业银行股份有限公司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</w:rPr>
              <w:t>产品托管人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  <w:t>招商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银行股份有限公司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  <w:t>天津分行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val="en-US" w:eastAsia="zh-CN"/>
              </w:rPr>
              <w:t>报告期末产品份额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341,938,000.00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99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szCs w:val="21"/>
                <w:lang w:val="en-US" w:eastAsia="zh-CN"/>
              </w:rPr>
              <w:t>报告期末产品资产净值</w:t>
            </w:r>
          </w:p>
        </w:tc>
        <w:tc>
          <w:tcPr>
            <w:tcW w:w="6435" w:type="dxa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346,592,068.60</w:t>
            </w:r>
          </w:p>
        </w:tc>
      </w:tr>
    </w:tbl>
    <w:p>
      <w:pPr>
        <w:numPr>
          <w:ilvl w:val="0"/>
          <w:numId w:val="0"/>
        </w:numPr>
        <w:ind w:firstLine="482" w:firstLineChars="200"/>
        <w:rPr>
          <w:rFonts w:hint="eastAsia" w:ascii="宋体" w:hAnsi="宋体" w:eastAsia="宋体" w:cs="宋体"/>
          <w:b/>
          <w:color w:val="000000"/>
          <w:sz w:val="24"/>
          <w:lang w:eastAsia="zh-CN"/>
        </w:rPr>
      </w:pPr>
    </w:p>
    <w:p>
      <w:pPr>
        <w:numPr>
          <w:ilvl w:val="0"/>
          <w:numId w:val="3"/>
        </w:numPr>
        <w:ind w:firstLine="482" w:firstLineChars="200"/>
        <w:rPr>
          <w:rFonts w:ascii="宋体" w:hAnsi="宋体" w:eastAsia="宋体" w:cs="宋体"/>
          <w:b/>
          <w:color w:val="000000"/>
          <w:sz w:val="24"/>
        </w:rPr>
      </w:pPr>
      <w:r>
        <w:rPr>
          <w:rFonts w:ascii="宋体" w:hAnsi="宋体" w:eastAsia="宋体" w:cs="宋体"/>
          <w:b/>
          <w:color w:val="000000"/>
          <w:sz w:val="24"/>
        </w:rPr>
        <w:t>产品</w:t>
      </w:r>
      <w:r>
        <w:rPr>
          <w:rFonts w:hint="eastAsia" w:ascii="宋体" w:hAnsi="宋体" w:eastAsia="宋体" w:cs="宋体"/>
          <w:b/>
          <w:color w:val="000000"/>
          <w:sz w:val="24"/>
          <w:lang w:eastAsia="zh-CN"/>
        </w:rPr>
        <w:t>净值</w:t>
      </w:r>
      <w:r>
        <w:rPr>
          <w:rFonts w:ascii="宋体" w:hAnsi="宋体" w:eastAsia="宋体" w:cs="宋体"/>
          <w:b/>
          <w:color w:val="000000"/>
          <w:sz w:val="24"/>
        </w:rPr>
        <w:t>表现</w:t>
      </w:r>
    </w:p>
    <w:p>
      <w:pPr>
        <w:numPr>
          <w:ilvl w:val="0"/>
          <w:numId w:val="0"/>
        </w:numPr>
        <w:rPr>
          <w:rFonts w:ascii="宋体" w:hAnsi="宋体" w:eastAsia="宋体" w:cs="宋体"/>
          <w:b/>
          <w:color w:val="000000"/>
          <w:sz w:val="24"/>
        </w:rPr>
      </w:pPr>
    </w:p>
    <w:tbl>
      <w:tblPr>
        <w:tblStyle w:val="5"/>
        <w:tblW w:w="94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2220"/>
        <w:gridCol w:w="1215"/>
        <w:gridCol w:w="1245"/>
        <w:gridCol w:w="720"/>
        <w:gridCol w:w="1515"/>
        <w:gridCol w:w="10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  <w:t>产品登记编码</w:t>
            </w:r>
          </w:p>
        </w:tc>
        <w:tc>
          <w:tcPr>
            <w:tcW w:w="2220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121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起息日</w:t>
            </w:r>
          </w:p>
        </w:tc>
        <w:tc>
          <w:tcPr>
            <w:tcW w:w="124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151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105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产品份额净值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100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38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2024/10/17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25/10/16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101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39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2024/10/24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25/10/23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2024/10/31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25/10/30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1.0259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2024/11/7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25/11/6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2024/11/14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25/11/13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109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2024/11/21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25/11/20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111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2024/11/28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25/11/27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2024/12/05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25/12/04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115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2024/12/12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25/12/11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1.0212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2024/12/19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25/12/18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119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信合同利净值型系列2024冰雪旅游专属理财产品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2024/12/26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25/12/25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123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2025/1/9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26/1/8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002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2025/1/16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26/1/15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004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2025/1/23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26/1/22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006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2025/2/6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26/1/29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357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008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2025/2/13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26/2/5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357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009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2025/2/20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26/2/12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357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012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2025/2/27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26/2/26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013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2025/3/6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26/3/5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016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2025/3/13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26/3/12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1.0147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017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2025/3/20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26/3/19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020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2025/3/27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26/3/26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022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2025/4/3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26/4/2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024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2025/4/10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26/4/9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026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2025/4/17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26/4/16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028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2025/4/24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26/4/23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030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2025/5/8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26/5/7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032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2025/5/15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26/5/14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033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2025/5/22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26/5/21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2025/5/29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26/5/28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5"/>
                <w:szCs w:val="15"/>
                <w:lang w:val="en-US" w:eastAsia="zh-CN"/>
              </w:rPr>
              <w:t>信合同利净值型系列（社保卡）2025年1期理财产品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2025/6/5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26/6/4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039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2025/6/12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26/6/11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040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2025/6/19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26/6/11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357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043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2025/6/26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26/6/25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5"/>
                <w:szCs w:val="15"/>
                <w:lang w:val="en-US" w:eastAsia="zh-CN"/>
              </w:rPr>
              <w:t>信合同利净值型系列（社保卡）2025年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5"/>
                <w:szCs w:val="15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5"/>
                <w:szCs w:val="15"/>
                <w:lang w:val="en-US" w:eastAsia="zh-CN"/>
              </w:rPr>
              <w:t>期理财产品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2025/7/3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26/7/2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045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2025/7/10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26/7/9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2025/7/17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26/7/16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049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2025/7/24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26/7/23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052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2025/7/31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26/7/30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054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2025/8/7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26/8/6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056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2025/8/14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26/8/13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057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28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2025/8/21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26/8/20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059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2025/8/28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26/8/27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061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2025/9/4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26/9/3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86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0"/>
                <w:sz w:val="18"/>
                <w:szCs w:val="18"/>
                <w:lang w:val="en-US" w:eastAsia="zh-CN" w:bidi="ar"/>
              </w:rPr>
              <w:t>064</w:t>
            </w:r>
          </w:p>
        </w:tc>
        <w:tc>
          <w:tcPr>
            <w:tcW w:w="22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信合同利净值型系列202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31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期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款理财产品</w:t>
            </w:r>
          </w:p>
        </w:tc>
        <w:tc>
          <w:tcPr>
            <w:tcW w:w="12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2025/9/11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26/9/10</w:t>
            </w:r>
          </w:p>
        </w:tc>
        <w:tc>
          <w:tcPr>
            <w:tcW w:w="720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1515" w:type="dxa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aps w:val="0"/>
                <w:color w:val="auto"/>
                <w:spacing w:val="0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0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1.0011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ascii="宋体" w:hAnsi="宋体" w:eastAsia="宋体" w:cs="宋体"/>
          <w:b/>
          <w:color w:val="000000"/>
          <w:sz w:val="2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4"/>
        </w:rPr>
      </w:pPr>
      <w:r>
        <w:rPr>
          <w:rFonts w:ascii="宋体" w:hAnsi="宋体" w:eastAsia="宋体" w:cs="宋体"/>
          <w:b/>
          <w:color w:val="000000"/>
          <w:sz w:val="24"/>
        </w:rPr>
        <w:t>报告期内产品的投资策略和运作分析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/>
        <w:textAlignment w:val="auto"/>
        <w:outlineLvl w:val="9"/>
        <w:rPr>
          <w:rFonts w:ascii="宋体" w:hAnsi="宋体" w:eastAsia="宋体" w:cs="宋体"/>
          <w:b/>
          <w:color w:val="000000"/>
          <w:sz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  <w:outlineLvl w:val="9"/>
        <w:rPr>
          <w:rFonts w:ascii="宋体" w:hAnsi="宋体" w:eastAsia="宋体" w:cs="宋体"/>
          <w:b/>
          <w:bCs/>
          <w:color w:val="000000"/>
          <w:sz w:val="21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lang w:eastAsia="zh-CN"/>
        </w:rPr>
        <w:t>（一）</w:t>
      </w:r>
      <w:r>
        <w:rPr>
          <w:rFonts w:ascii="宋体" w:hAnsi="宋体" w:eastAsia="宋体" w:cs="宋体"/>
          <w:b/>
          <w:bCs/>
          <w:color w:val="000000"/>
          <w:sz w:val="21"/>
        </w:rPr>
        <w:t>市场观点</w:t>
      </w:r>
    </w:p>
    <w:p>
      <w:pPr>
        <w:spacing w:beforeLines="0" w:afterLines="0"/>
        <w:ind w:firstLine="420" w:firstLineChars="200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基本面：整体经济呈现增速放缓、供给强需求弱的格局，基本面压力仍然显著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。</w:t>
      </w:r>
      <w:r>
        <w:rPr>
          <w:rFonts w:hint="eastAsia" w:ascii="宋体" w:hAnsi="宋体" w:eastAsia="宋体" w:cs="宋体"/>
          <w:sz w:val="21"/>
          <w:szCs w:val="21"/>
        </w:rPr>
        <w:t>政策面：货币政策在延续“适度宽松” 基调的基础上，进一步强化逆周期调节力度，通过工具量价协同与制度创新，为经济持续回升向好筑牢货币金融基础。财政政策延续了上半年“积极有为”的基调。</w:t>
      </w:r>
      <w:r>
        <w:rPr>
          <w:rFonts w:hint="eastAsia" w:ascii="宋体" w:hAnsi="宋体" w:eastAsia="宋体" w:cs="宋体"/>
          <w:b w:val="0"/>
          <w:bCs/>
          <w:sz w:val="21"/>
          <w:szCs w:val="21"/>
          <w:lang w:eastAsia="zh-CN"/>
        </w:rPr>
        <w:t>资金面：</w:t>
      </w:r>
      <w:r>
        <w:rPr>
          <w:rFonts w:hint="eastAsia" w:ascii="宋体" w:hAnsi="宋体" w:eastAsia="宋体" w:cs="宋体"/>
          <w:sz w:val="21"/>
          <w:szCs w:val="21"/>
        </w:rPr>
        <w:t>央行通过“MLF 加量+14天逆回购”组合工具有效化解跨季资金与到期压力，短期利率波动未突破政策合意区间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。债券走势：</w:t>
      </w:r>
      <w:r>
        <w:rPr>
          <w:rFonts w:hint="eastAsia" w:ascii="宋体" w:hAnsi="宋体" w:eastAsia="宋体" w:cs="宋体"/>
          <w:b/>
          <w:sz w:val="21"/>
          <w:szCs w:val="21"/>
        </w:rPr>
        <w:t xml:space="preserve">2025 </w:t>
      </w:r>
      <w:r>
        <w:rPr>
          <w:rFonts w:hint="eastAsia" w:ascii="宋体" w:hAnsi="宋体" w:eastAsia="宋体" w:cs="宋体"/>
          <w:sz w:val="21"/>
          <w:szCs w:val="21"/>
        </w:rPr>
        <w:t>年三季度债市整体承压。在“反内卷”政策效应发酵、股票市场走强及公募基金费率新规扰动下，现券收益率震荡上行，债市呈现熊陡型收益率曲线形态。中短端在资金面宽松助力下表现坚挺，超长端表现最弱，30年期国债收益率临近季末回升至2024年9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月</w:t>
      </w:r>
      <w:r>
        <w:rPr>
          <w:rFonts w:hint="eastAsia" w:ascii="宋体" w:hAnsi="宋体" w:eastAsia="宋体" w:cs="宋体"/>
          <w:sz w:val="21"/>
          <w:szCs w:val="21"/>
        </w:rPr>
        <w:t>24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日</w:t>
      </w:r>
      <w:r>
        <w:rPr>
          <w:rFonts w:hint="eastAsia" w:ascii="宋体" w:hAnsi="宋体" w:eastAsia="宋体" w:cs="宋体"/>
          <w:sz w:val="21"/>
          <w:szCs w:val="21"/>
        </w:rPr>
        <w:t>之前水平。</w:t>
      </w:r>
    </w:p>
    <w:p>
      <w:pPr>
        <w:spacing w:beforeLines="0" w:afterLines="0"/>
        <w:ind w:firstLine="420" w:firstLineChars="200"/>
        <w:jc w:val="left"/>
        <w:rPr>
          <w:rFonts w:hint="eastAsia" w:ascii="宋体" w:hAnsi="宋体" w:eastAsia="宋体" w:cs="宋体"/>
          <w:b w:val="0"/>
          <w:bCs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sz w:val="21"/>
          <w:szCs w:val="21"/>
        </w:rPr>
        <w:t>未来展望：进入四季度，宏观经济弱复苏格局延续，债市多空因素交织。债市或从前期偏弱格局逐步转向震荡修复，但利率突破历史前低的空间受限，需重点关注政策落地节奏、美联储政策路径及机构配置行为变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hint="eastAsia" w:ascii="宋体" w:hAnsi="宋体" w:eastAsia="宋体" w:cs="宋体"/>
          <w:b w:val="0"/>
          <w:bCs/>
          <w:sz w:val="21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  <w:outlineLvl w:val="9"/>
        <w:rPr>
          <w:rFonts w:ascii="宋体" w:hAnsi="宋体" w:eastAsia="宋体" w:cs="宋体"/>
          <w:b/>
          <w:bCs/>
          <w:color w:val="000000"/>
          <w:sz w:val="21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lang w:eastAsia="zh-CN"/>
        </w:rPr>
        <w:t>（二）投资</w:t>
      </w:r>
      <w:r>
        <w:rPr>
          <w:rFonts w:ascii="宋体" w:hAnsi="宋体" w:eastAsia="宋体" w:cs="宋体"/>
          <w:b/>
          <w:bCs/>
          <w:color w:val="000000"/>
          <w:sz w:val="21"/>
        </w:rPr>
        <w:t>运作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hint="eastAsia" w:ascii="宋体" w:hAnsi="宋体" w:eastAsia="宋体" w:cs="宋体"/>
          <w:color w:val="000000"/>
          <w:sz w:val="21"/>
          <w:szCs w:val="21"/>
        </w:rPr>
      </w:pP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eastAsia="zh-CN"/>
        </w:rPr>
        <w:t>理财资产配置以固定收益类为主，投资资产类型为银行存款、信托计划，底层资产为银行存款及债券，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  <w:t>在保持本金高安全性的前提下，兼顾资金的流动性与高效益性</w:t>
      </w:r>
      <w:r>
        <w:rPr>
          <w:rFonts w:hint="eastAsia" w:ascii="宋体" w:hAnsi="宋体" w:eastAsia="宋体" w:cs="宋体"/>
          <w:color w:val="auto"/>
          <w:sz w:val="21"/>
          <w:szCs w:val="21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4"/>
        </w:rPr>
      </w:pPr>
      <w:r>
        <w:rPr>
          <w:rFonts w:ascii="宋体" w:hAnsi="宋体" w:eastAsia="宋体" w:cs="宋体"/>
          <w:b/>
          <w:color w:val="000000"/>
          <w:sz w:val="24"/>
        </w:rPr>
        <w:t>投资组合情况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/>
        <w:textAlignment w:val="auto"/>
        <w:outlineLvl w:val="9"/>
        <w:rPr>
          <w:rFonts w:ascii="宋体" w:hAnsi="宋体" w:eastAsia="宋体" w:cs="宋体"/>
          <w:b/>
          <w:color w:val="000000"/>
          <w:sz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1"/>
        </w:rPr>
      </w:pPr>
      <w:r>
        <w:rPr>
          <w:rFonts w:hint="eastAsia" w:ascii="宋体" w:hAnsi="宋体" w:eastAsia="宋体" w:cs="宋体"/>
          <w:b/>
          <w:color w:val="000000"/>
          <w:sz w:val="21"/>
          <w:lang w:eastAsia="zh-CN"/>
        </w:rPr>
        <w:t>（一）</w:t>
      </w:r>
      <w:r>
        <w:rPr>
          <w:rFonts w:ascii="宋体" w:hAnsi="宋体" w:eastAsia="宋体" w:cs="宋体"/>
          <w:b/>
          <w:color w:val="000000"/>
          <w:sz w:val="21"/>
        </w:rPr>
        <w:t>报告期末产品资产组合情况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0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序号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资产类型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金额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占比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银行存款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78,000.00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0.02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信托计划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341,860,000.00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99.98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合计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341,938,000.00</w:t>
            </w:r>
          </w:p>
        </w:tc>
        <w:tc>
          <w:tcPr>
            <w:tcW w:w="2130" w:type="dxa"/>
          </w:tcPr>
          <w:p>
            <w:pPr>
              <w:widowControl w:val="0"/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100.00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1"/>
        </w:rPr>
      </w:pPr>
      <w:r>
        <w:rPr>
          <w:rFonts w:hint="eastAsia" w:ascii="宋体" w:hAnsi="宋体" w:eastAsia="宋体" w:cs="宋体"/>
          <w:b/>
          <w:color w:val="000000"/>
          <w:sz w:val="21"/>
          <w:lang w:eastAsia="zh-CN"/>
        </w:rPr>
        <w:t>（二）</w:t>
      </w:r>
      <w:r>
        <w:rPr>
          <w:rFonts w:ascii="宋体" w:hAnsi="宋体" w:eastAsia="宋体" w:cs="宋体"/>
          <w:b/>
          <w:color w:val="000000"/>
          <w:sz w:val="21"/>
        </w:rPr>
        <w:t>报告期末杠杆融资情况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0" w:firstLineChars="200"/>
        <w:textAlignment w:val="auto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>报告期末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未</w:t>
      </w:r>
      <w:r>
        <w:rPr>
          <w:rFonts w:ascii="宋体" w:hAnsi="宋体" w:eastAsia="宋体" w:cs="宋体"/>
          <w:color w:val="000000"/>
          <w:sz w:val="21"/>
        </w:rPr>
        <w:t>对本产品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进行</w:t>
      </w:r>
      <w:r>
        <w:rPr>
          <w:rFonts w:ascii="宋体" w:hAnsi="宋体" w:eastAsia="宋体" w:cs="宋体"/>
          <w:color w:val="000000"/>
          <w:sz w:val="21"/>
        </w:rPr>
        <w:t>杠杆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操作</w:t>
      </w:r>
      <w:r>
        <w:rPr>
          <w:rFonts w:ascii="宋体" w:hAnsi="宋体" w:eastAsia="宋体" w:cs="宋体"/>
          <w:color w:val="000000"/>
          <w:sz w:val="21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422" w:firstLineChars="200"/>
        <w:textAlignment w:val="auto"/>
        <w:outlineLvl w:val="9"/>
        <w:rPr>
          <w:rFonts w:ascii="宋体" w:hAnsi="宋体" w:eastAsia="宋体" w:cs="宋体"/>
          <w:b/>
          <w:color w:val="000000"/>
          <w:sz w:val="21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lang w:eastAsia="zh-CN"/>
        </w:rPr>
        <w:t>（三）</w:t>
      </w:r>
      <w:r>
        <w:rPr>
          <w:rFonts w:ascii="宋体" w:hAnsi="宋体" w:eastAsia="宋体" w:cs="宋体"/>
          <w:b/>
          <w:bCs/>
          <w:color w:val="000000"/>
          <w:sz w:val="21"/>
        </w:rPr>
        <w:t>报</w:t>
      </w:r>
      <w:r>
        <w:rPr>
          <w:rFonts w:ascii="宋体" w:hAnsi="宋体" w:eastAsia="宋体" w:cs="宋体"/>
          <w:b/>
          <w:color w:val="000000"/>
          <w:sz w:val="21"/>
        </w:rPr>
        <w:t>告期末</w:t>
      </w:r>
      <w:r>
        <w:rPr>
          <w:rFonts w:hint="eastAsia" w:ascii="宋体" w:hAnsi="宋体" w:eastAsia="宋体" w:cs="宋体"/>
          <w:b/>
          <w:color w:val="000000"/>
          <w:sz w:val="21"/>
          <w:lang w:eastAsia="zh-CN"/>
        </w:rPr>
        <w:t>底层</w:t>
      </w:r>
      <w:r>
        <w:rPr>
          <w:rFonts w:ascii="宋体" w:hAnsi="宋体" w:eastAsia="宋体" w:cs="宋体"/>
          <w:b/>
          <w:color w:val="000000"/>
          <w:sz w:val="21"/>
        </w:rPr>
        <w:t>资产持仓信息</w:t>
      </w:r>
    </w:p>
    <w:tbl>
      <w:tblPr>
        <w:tblStyle w:val="5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6"/>
        <w:gridCol w:w="2786"/>
        <w:gridCol w:w="27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序号</w:t>
            </w:r>
          </w:p>
        </w:tc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债券类型</w:t>
            </w:r>
          </w:p>
        </w:tc>
        <w:tc>
          <w:tcPr>
            <w:tcW w:w="278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1"/>
                <w:vertAlign w:val="baseline"/>
                <w:lang w:eastAsia="zh-CN"/>
              </w:rPr>
              <w:t>持仓规模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ascii="宋体" w:hAnsi="宋体" w:eastAsia="宋体" w:cs="宋体"/>
                <w:b w:val="0"/>
                <w:bCs/>
                <w:color w:val="000000"/>
                <w:sz w:val="21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商业性金融债</w:t>
            </w:r>
          </w:p>
        </w:tc>
        <w:tc>
          <w:tcPr>
            <w:tcW w:w="278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225,000,000.00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企业债券</w:t>
            </w:r>
          </w:p>
        </w:tc>
        <w:tc>
          <w:tcPr>
            <w:tcW w:w="278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211,000,000.00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同业存单</w:t>
            </w:r>
          </w:p>
        </w:tc>
        <w:tc>
          <w:tcPr>
            <w:tcW w:w="278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20,000,000.00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eastAsia="zh-CN"/>
              </w:rPr>
              <w:t>合计</w:t>
            </w:r>
          </w:p>
        </w:tc>
        <w:tc>
          <w:tcPr>
            <w:tcW w:w="2786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ascii="宋体" w:hAnsi="宋体" w:eastAsia="宋体" w:cs="宋体"/>
                <w:b w:val="0"/>
                <w:bCs/>
                <w:color w:val="000000"/>
                <w:sz w:val="21"/>
                <w:vertAlign w:val="baseline"/>
              </w:rPr>
            </w:pPr>
          </w:p>
        </w:tc>
        <w:tc>
          <w:tcPr>
            <w:tcW w:w="2788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1"/>
                <w:vertAlign w:val="baseline"/>
                <w:lang w:val="en-US" w:eastAsia="zh-CN"/>
              </w:rPr>
              <w:t>456,000,000.00</w:t>
            </w:r>
          </w:p>
        </w:tc>
      </w:tr>
    </w:tbl>
    <w:p>
      <w:pPr>
        <w:numPr>
          <w:ilvl w:val="0"/>
          <w:numId w:val="0"/>
        </w:numPr>
        <w:ind w:leftChars="0"/>
        <w:rPr>
          <w:rFonts w:ascii="宋体" w:hAnsi="宋体" w:eastAsia="宋体" w:cs="宋体"/>
          <w:b/>
          <w:color w:val="000000"/>
          <w:sz w:val="21"/>
        </w:rPr>
      </w:pPr>
    </w:p>
    <w:p>
      <w:pPr>
        <w:numPr>
          <w:ilvl w:val="0"/>
          <w:numId w:val="0"/>
        </w:numPr>
        <w:ind w:firstLine="482" w:firstLineChars="200"/>
        <w:rPr>
          <w:rFonts w:ascii="宋体" w:hAnsi="宋体" w:eastAsia="宋体" w:cs="宋体"/>
          <w:color w:val="000000"/>
          <w:sz w:val="21"/>
        </w:rPr>
      </w:pPr>
      <w:r>
        <w:rPr>
          <w:rFonts w:hint="eastAsia" w:ascii="宋体" w:hAnsi="宋体" w:eastAsia="宋体" w:cs="宋体"/>
          <w:b/>
          <w:color w:val="000000"/>
          <w:sz w:val="24"/>
          <w:lang w:eastAsia="zh-CN"/>
        </w:rPr>
        <w:t>六、理财托管</w:t>
      </w:r>
      <w:r>
        <w:rPr>
          <w:rFonts w:ascii="宋体" w:hAnsi="宋体" w:eastAsia="宋体" w:cs="宋体"/>
          <w:b/>
          <w:color w:val="000000"/>
          <w:sz w:val="24"/>
        </w:rPr>
        <w:t>机构</w:t>
      </w:r>
      <w:r>
        <w:rPr>
          <w:rFonts w:hint="eastAsia" w:ascii="宋体" w:hAnsi="宋体" w:eastAsia="宋体" w:cs="宋体"/>
          <w:b/>
          <w:color w:val="000000"/>
          <w:sz w:val="24"/>
          <w:lang w:eastAsia="zh-CN"/>
        </w:rPr>
        <w:t>报告</w:t>
      </w: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numPr>
          <w:ilvl w:val="0"/>
          <w:numId w:val="0"/>
        </w:numPr>
        <w:ind w:leftChars="200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序号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机构类别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eastAsia="zh-CN"/>
              </w:rPr>
              <w:t>托管机构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18"/>
                <w:szCs w:val="18"/>
                <w:vertAlign w:val="baseline"/>
                <w:lang w:eastAsia="zh-CN"/>
              </w:rPr>
              <w:t>招商银行股份有限公司天津分行</w:t>
            </w:r>
          </w:p>
        </w:tc>
      </w:tr>
    </w:tbl>
    <w:p>
      <w:pPr>
        <w:numPr>
          <w:ilvl w:val="0"/>
          <w:numId w:val="0"/>
        </w:numPr>
        <w:ind w:firstLine="482" w:firstLineChars="200"/>
        <w:rPr>
          <w:rFonts w:hint="eastAsia" w:ascii="宋体" w:hAnsi="宋体" w:eastAsia="宋体" w:cs="宋体"/>
          <w:b/>
          <w:color w:val="000000"/>
          <w:sz w:val="24"/>
          <w:lang w:eastAsia="zh-CN"/>
        </w:rPr>
      </w:pPr>
    </w:p>
    <w:p>
      <w:pPr>
        <w:numPr>
          <w:ilvl w:val="0"/>
          <w:numId w:val="0"/>
        </w:numPr>
        <w:ind w:firstLine="422" w:firstLineChars="200"/>
        <w:rPr>
          <w:rFonts w:hint="eastAsia" w:ascii="宋体" w:hAnsi="宋体" w:eastAsia="宋体" w:cs="宋体"/>
          <w:b w:val="0"/>
          <w:bCs/>
          <w:color w:val="000000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/>
          <w:bCs w:val="0"/>
          <w:color w:val="000000"/>
          <w:sz w:val="21"/>
          <w:szCs w:val="21"/>
          <w:lang w:eastAsia="zh-CN"/>
        </w:rPr>
        <w:t>托管人声明：</w:t>
      </w:r>
      <w:r>
        <w:rPr>
          <w:rFonts w:ascii="宋体" w:hAnsi="宋体" w:eastAsia="宋体" w:cs="宋体"/>
          <w:sz w:val="21"/>
          <w:szCs w:val="21"/>
        </w:rPr>
        <w:t>招商银行具备完善的公司治理结构、内部稽核监控制度和风险控制制度，在对信合同利净值型系列理财产品托管的过程中，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严格</w:t>
      </w:r>
      <w:r>
        <w:rPr>
          <w:rFonts w:ascii="宋体" w:hAnsi="宋体" w:eastAsia="宋体" w:cs="宋体"/>
          <w:sz w:val="21"/>
          <w:szCs w:val="21"/>
        </w:rPr>
        <w:t>遵守有关法律法规、托管协议的规定，尽职尽责地履行托管义务并安全保管托管资产。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hint="eastAsia" w:ascii="宋体" w:hAnsi="宋体" w:eastAsia="宋体" w:cs="宋体"/>
          <w:color w:val="000000"/>
          <w:sz w:val="21"/>
          <w:lang w:val="en-US" w:eastAsia="zh-CN"/>
        </w:rPr>
        <w:t>本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报告期内，</w:t>
      </w:r>
      <w:r>
        <w:rPr>
          <w:rFonts w:ascii="宋体" w:hAnsi="宋体" w:eastAsia="宋体" w:cs="宋体"/>
          <w:color w:val="000000"/>
          <w:sz w:val="21"/>
        </w:rPr>
        <w:t>托管人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对估值机构在本理财</w:t>
      </w:r>
      <w:r>
        <w:rPr>
          <w:rFonts w:ascii="宋体" w:hAnsi="宋体" w:eastAsia="宋体" w:cs="宋体"/>
          <w:color w:val="000000"/>
          <w:sz w:val="21"/>
        </w:rPr>
        <w:t>报告中的净值表现、投资组合等内容进行了必要的监督、复核和审查，认为其真实、准确和完整，不存在虚假记载、误导性陈述或者重大遗漏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的情形</w:t>
      </w:r>
      <w:r>
        <w:rPr>
          <w:rFonts w:ascii="宋体" w:hAnsi="宋体" w:eastAsia="宋体" w:cs="宋体"/>
          <w:color w:val="000000"/>
          <w:sz w:val="21"/>
        </w:rPr>
        <w:t>。</w:t>
      </w:r>
    </w:p>
    <w:p>
      <w:pPr>
        <w:numPr>
          <w:ilvl w:val="0"/>
          <w:numId w:val="0"/>
        </w:numPr>
        <w:rPr>
          <w:rFonts w:hint="eastAsia" w:ascii="宋体" w:hAnsi="宋体" w:eastAsia="宋体" w:cs="宋体"/>
          <w:b/>
          <w:color w:val="000000"/>
          <w:sz w:val="24"/>
          <w:lang w:eastAsia="zh-CN"/>
        </w:rPr>
      </w:pPr>
    </w:p>
    <w:p>
      <w:pPr>
        <w:numPr>
          <w:ilvl w:val="0"/>
          <w:numId w:val="0"/>
        </w:numPr>
        <w:ind w:firstLine="482" w:firstLineChars="200"/>
        <w:rPr>
          <w:rFonts w:ascii="宋体" w:hAnsi="宋体" w:eastAsia="宋体" w:cs="宋体"/>
          <w:color w:val="000000"/>
          <w:sz w:val="21"/>
        </w:rPr>
      </w:pPr>
      <w:r>
        <w:rPr>
          <w:rFonts w:hint="eastAsia" w:ascii="宋体" w:hAnsi="宋体" w:eastAsia="宋体" w:cs="宋体"/>
          <w:b/>
          <w:color w:val="000000"/>
          <w:sz w:val="24"/>
          <w:lang w:eastAsia="zh-CN"/>
        </w:rPr>
        <w:t>七、理财外包</w:t>
      </w:r>
      <w:r>
        <w:rPr>
          <w:rFonts w:ascii="宋体" w:hAnsi="宋体" w:eastAsia="宋体" w:cs="宋体"/>
          <w:b/>
          <w:color w:val="000000"/>
          <w:sz w:val="24"/>
        </w:rPr>
        <w:t>机构</w:t>
      </w:r>
      <w:r>
        <w:rPr>
          <w:rFonts w:hint="eastAsia" w:ascii="宋体" w:hAnsi="宋体" w:eastAsia="宋体" w:cs="宋体"/>
          <w:b/>
          <w:color w:val="000000"/>
          <w:sz w:val="24"/>
          <w:lang w:eastAsia="zh-CN"/>
        </w:rPr>
        <w:t>报告</w:t>
      </w:r>
      <w:r>
        <w:rPr>
          <w:rFonts w:ascii="宋体" w:hAnsi="宋体" w:eastAsia="宋体" w:cs="宋体"/>
          <w:color w:val="000000"/>
          <w:sz w:val="21"/>
        </w:rPr>
        <w:t xml:space="preserve">  </w:t>
      </w:r>
    </w:p>
    <w:p>
      <w:pPr>
        <w:numPr>
          <w:ilvl w:val="0"/>
          <w:numId w:val="0"/>
        </w:numPr>
        <w:ind w:leftChars="200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序号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机构类别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vertAlign w:val="baseline"/>
                <w:lang w:eastAsia="zh-CN"/>
              </w:rPr>
              <w:t>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vertAlign w:val="baseline"/>
                <w:lang w:eastAsia="zh-CN"/>
              </w:rPr>
              <w:t>估值机构</w:t>
            </w:r>
          </w:p>
        </w:tc>
        <w:tc>
          <w:tcPr>
            <w:tcW w:w="2841" w:type="dxa"/>
          </w:tcPr>
          <w:p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中信建投证券股份有限公司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ascii="宋体" w:hAnsi="宋体" w:eastAsia="宋体" w:cs="宋体"/>
          <w:color w:val="000000"/>
          <w:sz w:val="21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>报告期内，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中信建投</w:t>
      </w:r>
      <w:r>
        <w:rPr>
          <w:rFonts w:ascii="宋体" w:hAnsi="宋体" w:eastAsia="宋体" w:cs="宋体"/>
          <w:color w:val="000000"/>
          <w:sz w:val="21"/>
        </w:rPr>
        <w:t>严格遵守《商业银行理财业务监督管理办法》及相关法律法规规定、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估值</w:t>
      </w:r>
      <w:r>
        <w:rPr>
          <w:rFonts w:ascii="宋体" w:hAnsi="宋体" w:eastAsia="宋体" w:cs="宋体"/>
          <w:color w:val="000000"/>
          <w:sz w:val="21"/>
        </w:rPr>
        <w:t>协议约定，诚实信用、谨慎勤勉地履行了</w:t>
      </w:r>
      <w:r>
        <w:rPr>
          <w:rFonts w:hint="eastAsia" w:ascii="宋体" w:hAnsi="宋体" w:eastAsia="宋体" w:cs="宋体"/>
          <w:color w:val="000000"/>
          <w:sz w:val="21"/>
          <w:lang w:eastAsia="zh-CN"/>
        </w:rPr>
        <w:t>估值机构</w:t>
      </w:r>
      <w:r>
        <w:rPr>
          <w:rFonts w:ascii="宋体" w:hAnsi="宋体" w:eastAsia="宋体" w:cs="宋体"/>
          <w:color w:val="000000"/>
          <w:sz w:val="21"/>
        </w:rPr>
        <w:t>义务，不存在损害理财产品投资者利益的行为。</w:t>
      </w:r>
    </w:p>
    <w:p>
      <w:pPr>
        <w:numPr>
          <w:ilvl w:val="0"/>
          <w:numId w:val="0"/>
        </w:numPr>
        <w:rPr>
          <w:rFonts w:hint="eastAsia" w:ascii="宋体" w:hAnsi="宋体" w:eastAsia="宋体" w:cs="宋体"/>
          <w:color w:val="000000"/>
          <w:sz w:val="21"/>
          <w:szCs w:val="21"/>
        </w:rPr>
      </w:pPr>
    </w:p>
    <w:p>
      <w:pPr>
        <w:numPr>
          <w:ilvl w:val="0"/>
          <w:numId w:val="0"/>
        </w:numPr>
        <w:rPr>
          <w:rFonts w:hint="eastAsia" w:ascii="宋体" w:hAnsi="宋体" w:eastAsia="宋体" w:cs="宋体"/>
          <w:color w:val="000000"/>
          <w:sz w:val="21"/>
          <w:szCs w:val="21"/>
        </w:rPr>
      </w:pPr>
    </w:p>
    <w:p>
      <w:pPr>
        <w:numPr>
          <w:ilvl w:val="0"/>
          <w:numId w:val="0"/>
        </w:numPr>
        <w:ind w:leftChars="0"/>
        <w:jc w:val="right"/>
        <w:rPr>
          <w:rFonts w:hint="eastAsia" w:ascii="宋体" w:hAnsi="宋体" w:eastAsia="宋体" w:cs="宋体"/>
          <w:b w:val="0"/>
          <w:bCs/>
          <w:color w:val="000000"/>
          <w:sz w:val="21"/>
          <w:lang w:eastAsia="zh-CN"/>
        </w:rPr>
      </w:pPr>
      <w:r>
        <w:rPr>
          <w:rFonts w:hint="eastAsia" w:ascii="宋体" w:hAnsi="宋体" w:eastAsia="宋体" w:cs="宋体"/>
          <w:b w:val="0"/>
          <w:bCs/>
          <w:color w:val="000000"/>
          <w:sz w:val="21"/>
          <w:lang w:eastAsia="zh-CN"/>
        </w:rPr>
        <w:t>大兴安岭农村商业银行股份有限公司</w:t>
      </w:r>
    </w:p>
    <w:p>
      <w:pPr>
        <w:numPr>
          <w:ilvl w:val="0"/>
          <w:numId w:val="0"/>
        </w:numPr>
        <w:ind w:leftChars="0"/>
        <w:jc w:val="right"/>
        <w:rPr>
          <w:rFonts w:hint="eastAsia" w:ascii="宋体" w:hAnsi="宋体" w:eastAsia="宋体" w:cs="宋体"/>
          <w:b/>
          <w:color w:val="000000"/>
          <w:sz w:val="21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color w:val="000000"/>
          <w:sz w:val="21"/>
          <w:lang w:val="en-US" w:eastAsia="zh-CN"/>
        </w:rPr>
        <w:t>二〇二五年九月三十日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ans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NewRomanPS-BoldMT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TimesNewRomanPSMT">
    <w:altName w:val="Times New Roman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FFF09D"/>
    <w:multiLevelType w:val="singleLevel"/>
    <w:tmpl w:val="B7FFF09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62A955A"/>
    <w:multiLevelType w:val="singleLevel"/>
    <w:tmpl w:val="462A955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41E2EA1"/>
    <w:multiLevelType w:val="singleLevel"/>
    <w:tmpl w:val="741E2EA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D1559E"/>
    <w:rsid w:val="04C156F9"/>
    <w:rsid w:val="0B4774FA"/>
    <w:rsid w:val="0C9F6573"/>
    <w:rsid w:val="102F3F6C"/>
    <w:rsid w:val="13806CAB"/>
    <w:rsid w:val="14A33894"/>
    <w:rsid w:val="1E882A4F"/>
    <w:rsid w:val="20C67C09"/>
    <w:rsid w:val="22CC5F70"/>
    <w:rsid w:val="249D344A"/>
    <w:rsid w:val="25163C2D"/>
    <w:rsid w:val="26C6199B"/>
    <w:rsid w:val="2B9E5991"/>
    <w:rsid w:val="2C155412"/>
    <w:rsid w:val="2C937FF9"/>
    <w:rsid w:val="39191AA1"/>
    <w:rsid w:val="3C196B64"/>
    <w:rsid w:val="3C74570A"/>
    <w:rsid w:val="40121469"/>
    <w:rsid w:val="43C8512D"/>
    <w:rsid w:val="47FD4EBB"/>
    <w:rsid w:val="484E54F7"/>
    <w:rsid w:val="4A6326D5"/>
    <w:rsid w:val="4C084305"/>
    <w:rsid w:val="4E216721"/>
    <w:rsid w:val="4F6E37B7"/>
    <w:rsid w:val="52BE1AA7"/>
    <w:rsid w:val="53872689"/>
    <w:rsid w:val="58487FAA"/>
    <w:rsid w:val="58924284"/>
    <w:rsid w:val="5E85286B"/>
    <w:rsid w:val="614C57F6"/>
    <w:rsid w:val="653369B9"/>
    <w:rsid w:val="66343FF9"/>
    <w:rsid w:val="66EE7975"/>
    <w:rsid w:val="6AB97CA4"/>
    <w:rsid w:val="6D9C1477"/>
    <w:rsid w:val="72155AED"/>
    <w:rsid w:val="791F1BA1"/>
    <w:rsid w:val="7C8E16A7"/>
    <w:rsid w:val="7CF9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6">
    <w:name w:val="EMPTY_CELL_STYLE"/>
    <w:qFormat/>
    <w:uiPriority w:val="0"/>
    <w:pPr>
      <w:spacing w:line="240" w:lineRule="auto"/>
    </w:pPr>
    <w:rPr>
      <w:rFonts w:ascii="SansSerif" w:hAnsi="SansSerif" w:eastAsia="SansSerif" w:cs="SansSerif"/>
      <w:color w:val="000000"/>
      <w:sz w:val="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27</TotalTime>
  <ScaleCrop>false</ScaleCrop>
  <LinksUpToDate>false</LinksUpToDate>
  <CharactersWithSpaces>0</CharactersWithSpaces>
  <Application>WPS Office_10.8.2.6870_F1E327BC-269C-435d-A152-05C5408002CA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2023-01-10T01:21:00Z</dcterms:created>
  <dc:creator>江宇</dc:creator>
  <cp:lastModifiedBy>江宇</cp:lastModifiedBy>
  <dcterms:modified xsi:type="dcterms:W3CDTF">2025-10-10T08:20:53Z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2052-10.8.2.6870</vt:lpwstr>
  </property>
</Properties>
</file>